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4.png" ContentType="image/png"/>
  <Override PartName="/word/media/rId44.jpg" ContentType="image/jpeg"/>
  <Override PartName="/word/media/rId48.jpg" ContentType="image/jpeg"/>
  <Override PartName="/word/media/rId53.jpg" ContentType="image/jpeg"/>
  <Override PartName="/word/media/rId62.jpg" ContentType="image/jpeg"/>
  <Override PartName="/word/media/rId67.jpg" ContentType="image/jpeg"/>
  <Override PartName="/word/media/rId72.jpg" ContentType="image/jpeg"/>
  <Override PartName="/word/media/rId80.jpg" ContentType="image/jpeg"/>
  <Override PartName="/word/media/rId84.jpg" ContentType="image/jpeg"/>
  <Override PartName="/word/media/rId89.jpg" ContentType="image/jpeg"/>
  <Override PartName="/word/media/rId40.png" ContentType="image/png"/>
  <Override PartName="/word/media/rId76.png" ContentType="image/png"/>
  <Override PartName="/word/media/rId96.png" ContentType="image/png"/>
  <Override PartName="/word/media/rId107.png" ContentType="image/png"/>
  <Override PartName="/word/media/rId169.png" ContentType="image/png"/>
  <Override PartName="/word/media/rId174.png" ContentType="image/png"/>
  <Override PartName="/word/media/rId179.png" ContentType="image/png"/>
  <Override PartName="/word/media/rId185.png" ContentType="image/png"/>
  <Override PartName="/word/media/rId189.png" ContentType="image/png"/>
  <Override PartName="/word/media/rId117.png" ContentType="image/png"/>
  <Override PartName="/word/media/rId124.png" ContentType="image/png"/>
  <Override PartName="/word/media/rId142.png" ContentType="image/png"/>
  <Override PartName="/word/media/rId147.png" ContentType="image/png"/>
  <Override PartName="/word/media/rId151.png" ContentType="image/png"/>
  <Override PartName="/word/media/rId155.png" ContentType="image/png"/>
  <Override PartName="/word/media/rId159.png" ContentType="image/png"/>
  <Override PartName="/word/media/rId164.png" ContentType="image/png"/>
  <Override PartName="/word/media/rId112.png" ContentType="image/png"/>
  <Override PartName="/word/media/rId128.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38" w:name="introduction-overview"/>
    <w:p>
      <w:pPr>
        <w:pStyle w:val="Heading1"/>
      </w:pPr>
      <w:r>
        <w:t xml:space="preserve">1. Introduction &amp; Overview</w:t>
      </w:r>
    </w:p>
    <w:bookmarkStart w:id="36" w:name="general-introduction"/>
    <w:p>
      <w:pPr>
        <w:pStyle w:val="Heading2"/>
      </w:pPr>
      <w:r>
        <w:t xml:space="preserve">1.1 General Introduction</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 Effective management and sustainable practices are crucial to preserving their ecological integrity and ensuring long-term viability.</w:t>
      </w:r>
    </w:p>
    <w:p>
      <w:pPr>
        <w:pStyle w:val="BodyText"/>
      </w:pPr>
      <w:r>
        <w:t xml:space="preserve">Marine vegetative habitats in intertidal zones that are exposed at low tide (such as seagrass meadows, microphytobenthos, and macroalgae) are significantly impacted by human activities. Seagrass meadows are under threat due to various anthropogenic activities</w:t>
      </w:r>
      <w:r>
        <w:t xml:space="preserve"> </w:t>
      </w:r>
      <w:r>
        <w:t xml:space="preserve">(Len J. McKenzie et al., 2020a)</w:t>
      </w:r>
      <w:r>
        <w:t xml:space="preserve">, microphytobenthos are affected by the global decline of intertidal mudflats</w:t>
      </w:r>
      <w:r>
        <w:t xml:space="preserve"> </w:t>
      </w:r>
      <w:r>
        <w:t xml:space="preserve">(N. J. Murray et al., 2019)</w:t>
      </w:r>
      <w:r>
        <w:t xml:space="preserve">, and areas colonized by macroalgae may be reduced due to the expansion of wild oysters</w:t>
      </w:r>
      <w:r>
        <w:t xml:space="preserve"> </w:t>
      </w:r>
      <w:r>
        <w:t xml:space="preserve">(Le Bris et al., 2016)</w:t>
      </w:r>
      <w:r>
        <w:t xml:space="preserve">.</w:t>
      </w:r>
    </w:p>
    <w:p>
      <w:pPr>
        <w:pStyle w:val="BodyText"/>
      </w:pPr>
      <w:r>
        <w:t xml:space="preserve">These habitats provide vital ecological functions, including coastal erosion protection through root stabilization and sediment trapping (</w:t>
      </w:r>
      <w:r>
        <w:rPr>
          <w:b/>
          <w:bCs/>
        </w:rPr>
        <w:t xml:space="preserve">refs</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 (</w:t>
      </w:r>
      <w:r>
        <w:rPr>
          <w:b/>
          <w:bCs/>
        </w:rPr>
        <w:t xml:space="preserve">refs</w:t>
      </w:r>
      <w:r>
        <w:t xml:space="preserve">), serving as biodiversity hotspots that support unique flora and fauna, providing feeding, breeding, and nursery grounds for various species. Despite their ecological significance, intertidal zones, particularly mudflats, are challenging to access, and traditional field sampling methods are too time- and labor-intensive to allow repeated observations over large areas. This limitation underscores the need for advanced monitoring technologies to better assess and protect these habitats.</w:t>
      </w:r>
    </w:p>
    <w:p>
      <w:pPr>
        <w:pStyle w:val="BodyText"/>
      </w:pPr>
      <w:r>
        <w:t xml:space="preserve">Intertidal habitats, at the interface between marine and terrestrial ecosystems, face significant pressures from both anthropogenic activities and natural forces affecting both realms. Human-induced threats include coastal development, pollution, overfishing, and habitat modification, which degrade these ecosystems and diminish the valuable ecosystem services they provide. Meanwhile, natural factors such as storms, sea-level rise, climatic extreme events and climate change exacerbate these pressures, altering the structure function, and resilience of intertidal habitats. Despite their ecological importance in supporting biodiversity, providing coastal protection, and contributing to nutrient cycling, intertidal habitats remain highly vulnerable. Addressing these challenges requires robust management practices, targeted conservation strategies, and ongoing monitoring to ensure their sustainability and resilience against future pressures.</w:t>
      </w:r>
    </w:p>
    <w:bookmarkStart w:id="31" w:name="coastal-environment"/>
    <w:p>
      <w:pPr>
        <w:pStyle w:val="Heading3"/>
      </w:pPr>
      <w:r>
        <w:t xml:space="preserve">1.1.1 Coastal Environment</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beaches, dunes, estuaries, deltas, tidal flats, wetlands,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by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27" w:name="fig-CoastalHabitat"/>
          <w:p>
            <w:pPr>
              <w:pStyle w:val="Compact"/>
              <w:jc w:val="center"/>
            </w:pPr>
            <w:r>
              <w:drawing>
                <wp:inline>
                  <wp:extent cx="5943600" cy="4457700"/>
                  <wp:effectExtent b="0" l="0" r="0" t="0"/>
                  <wp:docPr descr="" title="" id="25" name="Picture"/>
                  <a:graphic>
                    <a:graphicData uri="http://schemas.openxmlformats.org/drawingml/2006/picture">
                      <pic:pic>
                        <pic:nvPicPr>
                          <pic:cNvPr descr="Chapter1/Figs/Picture_habitat/CoastalHabitats_Lowres.png" id="26" name="Picture"/>
                          <pic:cNvPicPr>
                            <a:picLocks noChangeArrowheads="1" noChangeAspect="1"/>
                          </pic:cNvPicPr>
                        </pic:nvPicPr>
                        <pic:blipFill>
                          <a:blip r:embed="rId24"/>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27"/>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p>
      <w:pPr>
        <w:pStyle w:val="BodyText"/>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28">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29">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tonnes, with aquaculture alone producing an unprecedented 130.9 million tonnes. Notably, for the first time, aquaculture surpassed wild capture in aquatic animal production, accounting for 51% of the total. Additionally,</w:t>
      </w:r>
      <w:r>
        <w:t xml:space="preserve"> </w:t>
      </w:r>
      <w:hyperlink r:id="rId30">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w:t>
      </w:r>
    </w:p>
    <w:p>
      <w:pPr>
        <w:pStyle w:val="BodyText"/>
      </w:pPr>
      <w:r>
        <w:t xml:space="preserve">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10 oil spills were recorded globally, releasing over 2,000 metric tons of oil into the environment, including one major spill exceeding 700 metric tons. While historical trends show a reduction in large spills, from over 20 per year in the 1970s to about 1.3 per year in recent decades, incidents such as the December 2024 Kerch Strait spill,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non-indigenous aquatic species in ecosystems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w:t>
      </w:r>
      <w:r>
        <w:t xml:space="preserve"> </w:t>
      </w:r>
      <w:r>
        <w:t xml:space="preserve">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necessitates the conversion of coastal wetlands, particularly mangroves, into fish or shrimp ponds. This land-use change reduces the availability of essential nursery habitats for marine species and diminishes the ecosystem services provided by mangroves,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will be further explored in Chapter 4.</w:t>
      </w:r>
      <w:r>
        <w:t xml:space="preserve"> </w:t>
      </w:r>
      <w:r>
        <w:t xml:space="preserve">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31"/>
    <w:bookmarkStart w:id="35" w:name="concepts-of-remote-sensing"/>
    <w:p>
      <w:pPr>
        <w:pStyle w:val="Heading3"/>
      </w:pPr>
      <w:r>
        <w:t xml:space="preserve">1.1.2 Concepts of Remote sensing</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is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is integral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land use mapping.</w:t>
      </w:r>
    </w:p>
    <w:p>
      <w:pPr>
        <w:pStyle w:val="BodyText"/>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The following sections examine two complementary approaches within the field of remote sensing for Earth observation: active and passive remote sensing. Through examples focused on coastal monitoring, these sections will introduce the remote sensing methodologies employed in this work while outlining their respective advantages and challenges.</w:t>
      </w:r>
    </w:p>
    <w:bookmarkStart w:id="32" w:name="X1004611164fc8944b1a2e5c037f5b94a65abf23"/>
    <w:p>
      <w:pPr>
        <w:pStyle w:val="Heading4"/>
      </w:pPr>
      <w:r>
        <w:t xml:space="preserve">1.1.2.1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that target. This method allows for the collection of data regardless of natural light conditions, enabling observations during both day and night and through various weather conditions.</w:t>
      </w:r>
    </w:p>
    <w:p>
      <w:pPr>
        <w:pStyle w:val="BodyText"/>
      </w:pPr>
      <w:r>
        <w:t xml:space="preserve">LiDAR, which stands for Light Detection and Ranging, uses laser light to measure distances to objects or surfaces. By emitting laser pulses and measuring the time it takes for them to reflect back from a target, LiDAR systems can create precise, three-dimensional representations of the environment.</w:t>
      </w:r>
    </w:p>
    <w:p>
      <w:pPr>
        <w:pStyle w:val="BodyText"/>
      </w:pPr>
      <w:r>
        <w:t xml:space="preserve">LiDAR works by emitting a beam of light and measuring the time it takes for the beam to return to the sensor. This process not only calculates distance but can also capture the intensity of the returned signal. In many instances, multiple returns from a single pulse are measured, which allows for mapping the different heights of objects within the same x and y coordinates. This capability is particularly useful for applications such as mapping the heights of trees in a forest or measuring crop heights in agricultural fields. When the height of the ground cannot be measured, LiDAR data can only generate a digital surface model (DSM), which represents the topmost layer of the environment. However, if multiple returns are recorded, it becomes possible to create both a DSM and a digital terrain model (DTM), which represents the ground surface, by differentiating between surface and underlying layers. The difference between DSM and DTM can be uses to assess living stock or biomass.</w:t>
      </w:r>
    </w:p>
    <w:p>
      <w:pPr>
        <w:pStyle w:val="BodyText"/>
      </w:pPr>
      <w:r>
        <w:t xml:space="preserve">Achieving accurate 3D measurements of a target using LiDAR technology requires an exceptional level of precision in assessing each parameter of the system. The quality of the final output depends on careful calibration and execution at every stage of the process. One of the critical steps is ensuring the precise timing of the laser beam’s return after it reflects off the target. This timing directly determines the distance calculations that form the basis of the 3D structure.</w:t>
      </w:r>
      <w:r>
        <w:t xml:space="preserve"> </w:t>
      </w:r>
      <w:r>
        <w:t xml:space="preserve">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w:t>
      </w:r>
      <w:r>
        <w:t xml:space="preserve"> </w:t>
      </w:r>
      <w:r>
        <w:t xml:space="preserve">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distinguished by their emitted wavelengths, which dictate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spectrum (approximately 1000 nm), used for mapping terrestrial features such as beach contours, vegetation density, and man-made structures. Its ability to generate high-density point clouds stems from efficient operation at lower power. Unlike green LiDAR, near-infrared LiDAR does not require as much power, making it generally cheaper and smaller. These attributes allow topographic LiDAR systems to be easily mounted on drone platforms, enabling greater flexibility and accessibility for coastal monitoring. Conversely, bathymetric LiDAR, utilizing green wavelengths (~532 nm), penetrates water to reveal submerged landscapes, including coral reefs, seagrass meadows, and shallow seabeds. While this capability is indispensable for underwater mapping, its effectiveness on land is hindered by atmospheric scattering.</w:t>
      </w:r>
    </w:p>
    <w:p>
      <w:pPr>
        <w:pStyle w:val="BodyText"/>
      </w:pPr>
      <w:r>
        <w:t xml:space="preserve">Litto3D®</w:t>
      </w:r>
      <w:r>
        <w:t xml:space="preserve"> </w:t>
      </w:r>
      <w:r>
        <w:t xml:space="preserve">(SHOM, 2021)</w:t>
      </w:r>
      <w:r>
        <w:t xml:space="preserve">,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is an open-source dataset that exemplifies the integration of advanced remote sensing techniques to produce a seamless, high-resolution topographic model that bridges land and sea within France’s coastal regions. By employing both topographic and bathymetric Light Detection and Ranging (LiDAR) technologies during airborne missions, the system captures terrestrial and submerged terrain features with exceptional precision. The topographic LiDAR operates at resolutions as fine as 1 meter, achieving vertical accuracy within 20 centimeters under optimal conditions, such as minimal atmospheric interference, stable flight paths, and favorable weather conditions, while the bathymetric LiDAR effectively maps underwater landscapes down to depths of approximately 70 meters, depending on water clarity, including factors such as turbidity, sediment load, and the presence of organic matter in the water column. This dual-mode capability is essential for modeling complex coastal environments, ensuring the seamless integration of terrestrial and marine datasets. The airborne platform enables rapid data acquisition over extensive areas, overcoming challenges associated with ground-based or shipborne methods. The fusion methodology employed by Litto3D® ensures the precise alignment of terrestrial and marine datasets, addressing the challenges of inconsistent elevation data at land-water interfaces. This process results in a unified and accurate representation of coastal environments. This dataset is well-suited for diverse scientific and practical applications, including coastal risk assessment and ecological studies.</w:t>
      </w:r>
    </w:p>
    <w:p>
      <w:pPr>
        <w:pStyle w:val="BodyText"/>
      </w:pPr>
      <w:r>
        <w:t xml:space="preserve">In the present study, LiDAR data will be utilized in</w:t>
      </w:r>
      <w:r>
        <w:t xml:space="preserve"> </w:t>
      </w:r>
      <w:r>
        <w:rPr>
          <w:b/>
          <w:bCs/>
        </w:rPr>
        <w:t xml:space="preserve">Chapter 4</w:t>
      </w:r>
      <w:r>
        <w:t xml:space="preserve"> </w:t>
      </w:r>
      <w:r>
        <w:t xml:space="preserve">through a drone-borne infrared LiDAR system. This data will be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will be used in conjunction with a water height dataset to assess the emersion time of seagrass meadows in Quiberon, France, during low tide. As this thesis is focused on intertidal environement mapping, Field campaigns are conducted during low tide, as it provides optimal conditions for the effective use of Infrared LiDAR by ensuring unobstructed access to exposed intertidal zones.</w:t>
      </w:r>
    </w:p>
    <w:bookmarkEnd w:id="32"/>
    <w:bookmarkStart w:id="33" w:name="passive-remote-sensing"/>
    <w:p>
      <w:pPr>
        <w:pStyle w:val="Heading4"/>
      </w:pPr>
      <w:r>
        <w:t xml:space="preserve">1.1.2.2 Passive Remote Sensing</w:t>
      </w:r>
    </w:p>
    <w:p>
      <w:pPr>
        <w:pStyle w:val="FirstParagraph"/>
      </w:pPr>
      <w:r>
        <w:t xml:space="preserve">In contrast to active remote sensing, passive remote sensing is a method of collecting data about the Earth’s surface or atmosphere by measuring naturally emitted or reflected electromagnetic radiation without actively transmitting signals. This technique relies on external energy sources, such as sunlight, for optical and near-infrared sensors or Earth’s thermal emissions for thermal infrared sensors.</w:t>
      </w:r>
    </w:p>
    <w:p>
      <w:pPr>
        <w:pStyle w:val="BodyText"/>
      </w:pPr>
      <w:r>
        <w:t xml:space="preserve">Passive remote sensing is commonly utilized in spaceborne satellite missions. It has been integral to numerous missions developed by major space agencies such as the European Space Agency (ESA) and the National Aeronautics and Space Administration (NASA). For instance, the Sentinel-2 mission by ESA employs passive sensors to capture high-resolution optical images, measuring sunlight reflected by Earth’s surface at various wavelengths to monitor land and vegetation changes globally.</w:t>
      </w:r>
    </w:p>
    <w:p>
      <w:pPr>
        <w:pStyle w:val="BodyText"/>
      </w:pPr>
      <w:r>
        <w:t xml:space="preserve">Sunlight travels approximately eight minutes from the Sun’s surface to Earth, traversing the atmosphere upon arrival. The atmosphere, composed of various gases and particles, interacts with sunlight, altering its properties at specific wavelengths. These interactions include scattering, absorption, and refraction. Scattering occurs when atmospheric molecules and aerosols disperse light in different directions, often impacting shorter wavelengths like blue light more significantly. Absorption is caused by atmospheric constituents such as ozone, water vapor, and carbon dioxide, which absorb energy at particular wavelengths, reducing the intensity of the transmitted light. Refraction occurs as light changes direction and speed while passing through layers of the atmosphere with varying densities.</w:t>
      </w:r>
    </w:p>
    <w:p>
      <w:pPr>
        <w:pStyle w:val="BodyText"/>
      </w:pPr>
      <w:r>
        <w:t xml:space="preserve">Once sunlight reaches Earth’s surface, it exhibits several behaviors, depending on the surface properties and the angle of incidence. These behaviors include:</w:t>
      </w:r>
    </w:p>
    <w:p>
      <w:pPr>
        <w:numPr>
          <w:ilvl w:val="0"/>
          <w:numId w:val="1003"/>
        </w:numPr>
      </w:pPr>
      <w:r>
        <w:t xml:space="preserve">Reflection: The light is redirected back into the atmosphere without being absorbed by the surface. The amount of reflection depends on the surface’s albedo, with bright surfaces like snow reflecting more light compared to darker surfaces such as forests.</w:t>
      </w:r>
    </w:p>
    <w:p>
      <w:pPr>
        <w:numPr>
          <w:ilvl w:val="0"/>
          <w:numId w:val="1003"/>
        </w:numPr>
      </w:pPr>
      <w:r>
        <w:t xml:space="preserve">Absorption: The light is absorbed by the surface, converting it into heat or another form of energy. This process varies based on the material’s absorptive properties and its color,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pStyle w:val="FirstParagraph"/>
      </w:pPr>
      <w:r>
        <w:t xml:space="preserve">Only reflected light can be detected by spaceborne sensors, having undergone one final alteration by the atmosphere. The most commonly used metric in passive remote sensing is reflectance. Reflectance is typically defined as the ratio of reflected radiation to incoming radiation at a specific wavelength. This relationship can be expressed mathematically as follows:</w:t>
      </w:r>
    </w:p>
    <w:p>
      <w:pPr>
        <w:pStyle w:val="BodyText"/>
      </w:pPr>
      <m:oMathPara>
        <m:oMathParaPr>
          <m:jc m:val="center"/>
        </m:oMathParaPr>
        <m:oMath>
          <m:r>
            <m:t>R</m:t>
          </m:r>
          <m:d>
            <m:dPr>
              <m:begChr m:val="("/>
              <m:endChr m:val=")"/>
              <m:sepChr m:val=""/>
              <m:grow/>
            </m:dPr>
            <m:e>
              <m:r>
                <m:t>λ</m:t>
              </m:r>
            </m:e>
          </m:d>
          <m:r>
            <m:rPr>
              <m:sty m:val="p"/>
            </m:rPr>
            <m:t>=</m:t>
          </m:r>
          <m:f>
            <m:fPr>
              <m:type m:val="bar"/>
            </m:fPr>
            <m:num>
              <m:sSub>
                <m:e>
                  <m:r>
                    <m:t>L</m:t>
                  </m:r>
                </m:e>
                <m:sub>
                  <m:r>
                    <m:t>r</m:t>
                  </m:r>
                </m:sub>
              </m:sSub>
              <m:d>
                <m:dPr>
                  <m:begChr m:val="("/>
                  <m:endChr m:val=")"/>
                  <m:sepChr m:val=""/>
                  <m:grow/>
                </m:dPr>
                <m:e>
                  <m:r>
                    <m:t>λ</m:t>
                  </m:r>
                </m:e>
              </m:d>
            </m:num>
            <m:den>
              <m:sSub>
                <m:e>
                  <m:r>
                    <m:t>L</m:t>
                  </m:r>
                </m:e>
                <m:sub>
                  <m:r>
                    <m:t>i</m:t>
                  </m:r>
                </m:sub>
              </m:sSub>
              <m:d>
                <m:dPr>
                  <m:begChr m:val="("/>
                  <m:endChr m:val=")"/>
                  <m:sepChr m:val=""/>
                  <m:grow/>
                </m:dPr>
                <m:e>
                  <m:r>
                    <m:t>λ</m:t>
                  </m:r>
                </m:e>
              </m:d>
            </m:den>
          </m:f>
        </m:oMath>
      </m:oMathPara>
    </w:p>
    <w:p>
      <w:pPr>
        <w:pStyle w:val="FirstParagraph"/>
      </w:pPr>
      <w:r>
        <w:t xml:space="preserve">where:</w:t>
      </w:r>
    </w:p>
    <w:p>
      <w:pPr>
        <w:pStyle w:val="Compact"/>
        <w:numPr>
          <w:ilvl w:val="0"/>
          <w:numId w:val="1004"/>
        </w:numPr>
      </w:pPr>
      <m:oMath>
        <m:r>
          <m:t>R</m:t>
        </m:r>
        <m:d>
          <m:dPr>
            <m:begChr m:val="("/>
            <m:endChr m:val=")"/>
            <m:sepChr m:val=""/>
            <m:grow/>
          </m:dPr>
          <m:e>
            <m:r>
              <m:t>λ</m:t>
            </m:r>
          </m:e>
        </m:d>
      </m:oMath>
      <w:r>
        <w:t xml:space="preserve"> </w:t>
      </w:r>
      <w:r>
        <w:t xml:space="preserve">is the reflectance at the wavelength</w:t>
      </w:r>
      <w:r>
        <w:t xml:space="preserve"> </w:t>
      </w:r>
      <m:oMath>
        <m:r>
          <m:t>λ</m:t>
        </m:r>
      </m:oMath>
      <w:r>
        <w:br/>
      </w:r>
    </w:p>
    <w:p>
      <w:pPr>
        <w:pStyle w:val="Compact"/>
        <w:numPr>
          <w:ilvl w:val="0"/>
          <w:numId w:val="1004"/>
        </w:numPr>
      </w:pPr>
      <m:oMath>
        <m:sSub>
          <m:e>
            <m:r>
              <m:t>L</m:t>
            </m:r>
          </m:e>
          <m:sub>
            <m:r>
              <m:t>r</m:t>
            </m:r>
          </m:sub>
        </m:sSub>
        <m:d>
          <m:dPr>
            <m:begChr m:val="("/>
            <m:endChr m:val=")"/>
            <m:sepChr m:val=""/>
            <m:grow/>
          </m:dPr>
          <m:e>
            <m:r>
              <m:t>λ</m:t>
            </m:r>
          </m:e>
        </m:d>
      </m:oMath>
      <w:r>
        <w:t xml:space="preserve"> </w:t>
      </w:r>
      <w:r>
        <w:t xml:space="preserve">is the radiance reflected by the surface at wavelength</w:t>
      </w:r>
      <w:r>
        <w:t xml:space="preserve"> </w:t>
      </w:r>
      <m:oMath>
        <m:r>
          <m:t>λ</m:t>
        </m:r>
      </m:oMath>
    </w:p>
    <w:p>
      <w:pPr>
        <w:pStyle w:val="Compact"/>
        <w:numPr>
          <w:ilvl w:val="0"/>
          <w:numId w:val="1004"/>
        </w:numPr>
      </w:pPr>
      <m:oMath>
        <m:sSub>
          <m:e>
            <m:r>
              <m:t>L</m:t>
            </m:r>
          </m:e>
          <m:sub>
            <m:r>
              <m:t>i</m:t>
            </m:r>
          </m:sub>
        </m:sSub>
        <m:d>
          <m:dPr>
            <m:begChr m:val="("/>
            <m:endChr m:val=")"/>
            <m:sepChr m:val=""/>
            <m:grow/>
          </m:dPr>
          <m:e>
            <m:r>
              <m:t>λ</m:t>
            </m:r>
          </m:e>
        </m:d>
      </m:oMath>
      <w:r>
        <w:t xml:space="preserve"> </w:t>
      </w:r>
      <w:r>
        <w:t xml:space="preserve">is the incident radiance (or irradiance) at wavelength</w:t>
      </w:r>
      <w:r>
        <w:t xml:space="preserve"> </w:t>
      </w:r>
      <m:oMath>
        <m:r>
          <m:t>λ</m:t>
        </m:r>
      </m:oMath>
    </w:p>
    <w:p>
      <w:pPr>
        <w:pStyle w:val="FirstParagraph"/>
      </w:pPr>
      <w:r>
        <w:t xml:space="preserve">Reflectance is defined for each wavelength as a value between 0 and 1. A reflectance of 0 indicates that all light has been absorbed or transmitted by the target, while a reflectance of 1 indicates that all light has been reflected.</w:t>
      </w:r>
    </w:p>
    <w:p>
      <w:pPr>
        <w:pStyle w:val="BodyText"/>
      </w:pPr>
      <w:r>
        <w:t xml:space="preserve">However, reflectance cannot be directly used as measured by spaceborne sensors, as it contains signals originating from both the atmosphere and the target. This reflectance is commonly referred to as Top of Atmosphere (TOA) reflectance. TOA reflectance is useful for applications such as assessing aerosol concentrations in the atmosphere or implementing cloud detection algorithms.</w:t>
      </w:r>
    </w:p>
    <w:p>
      <w:pPr>
        <w:pStyle w:val="BodyText"/>
      </w:pPr>
      <w:r>
        <w:t xml:space="preserve">To study targets located on the Earth’s surface, the atmospheric effects on reflectance must be corrected. Atmospheric correction algorithms are applied to transform TOA reflectance into surface or Bottom of Atmosphere (BOA) reflectance, which represents the intrinsic reflectance properties of the surface target. BOA reflectance is crucial for accurately analyzing surface characteristics and for applications like vegetation monitoring, water quality assessment, and land cover classification, where precise surface reflectance values are essential.</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from optically deep water is entirely due to atmospheric effects. This information is then used to correct the reflectance across the entire scene. However, this method requires the presence of optically deep water bodies within the scene and assumes uniform aerosol concentrations across the scene. Such assumptions may be inaccurate, particularly for satellites with a wide field of view, such as MODIS, where a single image can cover a swath of 2,330 km. These limitations highlight the need for more advanced correction techniques that account for spatial variability in atmospheric properties.</w:t>
      </w:r>
    </w:p>
    <w:p>
      <w:pPr>
        <w:pStyle w:val="BodyText"/>
      </w:pPr>
      <w:r>
        <w:t xml:space="preserve">To address these challenges, space agencies have developed sophisticated atmospheric correction algorithms tailored to specific sensors and study areas, accounting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 BOA reflectance by incorporating atmospheric parameters such as water vapor, aerosols, and ozone concentrations. These advanced algorithms often rely on radiative transfer simulations and use ancillary data from onboard sensors or external sources to improve accuracy. Additionally, some atmospheric correction methods are customized for specific applications, such as the ocean color community, which employs algorithms specifically designed for water bodies. PolyMER or ACOLITE, for instance, are widely used atmospheric correction model that enhances water-leaving radiance retrieval, making it highly effective for monitoring aquatic ecosystems.</w:t>
      </w:r>
    </w:p>
    <w:p>
      <w:pPr>
        <w:pStyle w:val="BodyText"/>
      </w:pPr>
      <w:r>
        <w:t xml:space="preserve">After atmospheric correction, BOA reflectance provides information regarding light reflected by the target at various wavelengths. This phenomenon, referred to as the spectral signature, is a unique feature of each target type. Spectral signatures contain data about the physical and chemical properties of surfaces, forming the basis for remote sensing applications. By analyzing spectral signatures, its possible to identify and classify surface types, as well as derive insights into environmental changes and land-use dynamics. For example, Chlorophyll-a, a pigment commonly found in vegetation, plays a key role in defining the spectral signature of plant life. Chlorophyll-a absorbs light in specific regions of the electromagnetic spectrum, particularly in the blue region around 430 nm and the red region near 665 nm. These absorption characteristics shape the spectral signature of vegetation, resulting in minimal reflectance in these wavelength ranges. Consequently, these spectral features are important indicators in remote sensing studies, enabling the differentiation of vegetation types, assessment of their physiological health, and monitoring of ecological conditions over time.</w:t>
      </w:r>
    </w:p>
    <w:p>
      <w:pPr>
        <w:pStyle w:val="BodyText"/>
      </w:pPr>
      <w:r>
        <w:t xml:space="preserve">Spectral indices are mathematical combinations of reflectance values at specific wavelengths, designed to highlight particular surface characteristics. Vegetation indices, for example, leverage the distinct reflectance patterns of photosynthetic pigments. The Normalized Difference Vegetation Index (NDVI) is a widely used index based on the normalised difference between near-infrared (NIR) and red reflectance values. It is calculated as:</w:t>
      </w:r>
    </w:p>
    <w:p>
      <w:pPr>
        <w:pStyle w:val="BodyText"/>
      </w:pPr>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oMath>
      </m:oMathPara>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denser vegetation. While NDVI serves as a proxy for vegetation biomass and photosynthetic activity, its interpretation can be complex in heterogeneous environments, such as areas with overlapping vegetation types or substrates.</w:t>
      </w:r>
      <w:r>
        <w:t xml:space="preserve"> </w:t>
      </w:r>
      <w:r>
        <w:rPr>
          <w:b/>
          <w:bCs/>
        </w:rPr>
        <w:t xml:space="preserve">make a link with one of the objective of the thesis, that aims to develop new methods to distinguish vegetation, that doesn’t rely only on threshold of spectral indices.</w:t>
      </w:r>
      <w:r>
        <w:rPr>
          <w:b/>
          <w:bCs/>
        </w:rPr>
        <w:t xml:space="preserve"> </w:t>
      </w:r>
      <w:r>
        <w:rPr>
          <w:b/>
          <w:bCs/>
        </w:rPr>
        <w:t xml:space="preserve">(Oiry and Barillé, 2021a)</w:t>
      </w:r>
      <w:r>
        <w:t xml:space="preserve">.</w:t>
      </w:r>
    </w:p>
    <w:p>
      <w:pPr>
        <w:pStyle w:val="BodyText"/>
      </w:pPr>
      <w:r>
        <w:t xml:space="preserve">BOA reflectance can be used to identify key absorption features of chemical compounds of the traget, by applying derivative on the spectral signature. The second derivative of the reflectance spectrum is utilized to enhance the detection of subtle pigment absorption features. By analyzing the second derivative, small variations in reflectance due to specific pigments can be amplified, allowing for a more precise estimation of pigment concentrations and distribution. This approach is particularly effective for identifying accessory pigments that have weaker absorption features compared to chlorophyll-a.</w:t>
      </w:r>
    </w:p>
    <w:p>
      <w:pPr>
        <w:pStyle w:val="Compact"/>
        <w:numPr>
          <w:ilvl w:val="0"/>
          <w:numId w:val="1005"/>
        </w:numPr>
      </w:pPr>
      <w:r>
        <w:rPr>
          <w:b/>
          <w:bCs/>
        </w:rPr>
        <w:t xml:space="preserve">Speak about</w:t>
      </w:r>
      <w:r>
        <w:rPr>
          <w:b/>
          <w:bCs/>
        </w:rPr>
        <w:t xml:space="preserve"> </w:t>
      </w:r>
      <w:r>
        <w:rPr>
          <w:b/>
          <w:bCs/>
          <w:i/>
          <w:iCs/>
        </w:rPr>
        <w:t xml:space="preserve">in situ</w:t>
      </w:r>
      <w:r>
        <w:rPr>
          <w:b/>
          <w:bCs/>
        </w:rPr>
        <w:t xml:space="preserve"> </w:t>
      </w:r>
      <w:r>
        <w:rPr>
          <w:b/>
          <w:bCs/>
        </w:rPr>
        <w:t xml:space="preserve">spectroradiometry</w:t>
      </w:r>
    </w:p>
    <w:p>
      <w:pPr>
        <w:pStyle w:val="FirstParagraph"/>
      </w:pPr>
      <w:r>
        <w:t xml:space="preserve">Finally, a distinction can be made between high-altitude remote sensing and low-altitude remote sensing. Low-altitude remote sensing refers to the acquisition of spectral signatures at a distance of no more than 120 meters from the target, in compliance with European regulations on the maximum flight height for Unmanned Aerial Vehicles (UAVs). This contrasts with high-altitude remote sensing, which involves plane-borne and space-borne sensors. The distinction is important due to significant differences in calibration methods for reflectance measurements, as well as variations in temporal, and above all, spatial resolution.</w:t>
      </w:r>
    </w:p>
    <w:p>
      <w:pPr>
        <w:pStyle w:val="BodyText"/>
      </w:pPr>
      <w:r>
        <w:t xml:space="preserve">Reflectance calibration methods differ significantly between satellite-based remote sensing and in situ measurements using a Spectralon panel. For satellite sensors, reflectance calibration relies on pre-launch laboratory calibration and post-launch vicarious calibration, which uses known surface targets or atmospheric correction algorithms to account for sensor degradation, atmospheric effects, and viewing geometry. In contrast, in situ calibration with a Spectralon panel involves direct measurement of reflected light from a calibrated reference target with known reflectance properties, typically conducted under controlled conditions near the target area. This method ensures precise ground-truth data, providing high accuracy for reflectance measurements by eliminating the influence of atmospheric scattering and absorption, which are significant factors in satellite-based calibration.</w:t>
      </w:r>
    </w:p>
    <w:p>
      <w:pPr>
        <w:pStyle w:val="BodyText"/>
      </w:pPr>
      <w:r>
        <w:t xml:space="preserve">Temporal resolution, defined as the time interval between successive image acquisitions over the same study site, varies significantly between low-altitude and high-altitude sensors. Satellites used for Earth observation are typically placed in low heliosynchronous orbits, allowing them to regularly revisit the same area of the Earth. For instance, the Sentinel-2 constellation offers a temporal resolution of 5 days at the equator, which decreases to as little as 3 days at higher latitudes, such as in France. Certain missions, like the Sentinel-3 constellation, achieve even shorter revisit times, often less than a day. In contrast, low-altitude sensors are generally operated on-demand, with data acquisition often initiated directly by the user.</w:t>
      </w:r>
    </w:p>
    <w:p>
      <w:pPr>
        <w:pStyle w:val="BodyText"/>
      </w:pPr>
      <w:r>
        <w:t xml:space="preserve">Spatial resolution, defined as the ground area represented by a single pixel, differs significantly between low-altitude and high-altitude sensors. Satellite remote sensing can cover vast areas, often spanning millions of square kilometers, and capture data at the scale of entire countries in a single image. The spatial resolution of a sensor is directly influenced by its field of view, and while some satellites achieve resolutions as fine as 30 cm per pixel (e.g., Pleiades-Neo), this can pose challenges for accurately mapping complex ecosystems. For example, in scenarios involving mixed vegetation types, the inability to capture fine-scale heterogeneity can limit the accuracy of analyses.</w:t>
      </w:r>
    </w:p>
    <w:p>
      <w:pPr>
        <w:pStyle w:val="BodyText"/>
      </w:pPr>
      <w:r>
        <w:t xml:space="preserve">In such challenging scenarios, low-altitude remote sensing offers a complementary approach by acquiring millions of pixels over smaller areas, achieving spatial resolutions at the millimeter scale. This level of detail enables more precise mapping of complex and heterogeneous ecosystems.</w:t>
      </w:r>
    </w:p>
    <w:p>
      <w:pPr>
        <w:pStyle w:val="BodyText"/>
      </w:pPr>
      <w:r>
        <w:t xml:space="preserve">As a fundamental aspect of remote sensing, the principles introduced in this section will be applied in each subsequent chapter of this work.</w:t>
      </w:r>
    </w:p>
    <w:bookmarkEnd w:id="33"/>
    <w:bookmarkStart w:id="34" w:name="X6e0637a84264a80c0e5f6545e17679d348073aa"/>
    <w:p>
      <w:pPr>
        <w:pStyle w:val="Heading4"/>
      </w:pPr>
      <w:r>
        <w:t xml:space="preserve">1.1.2.3 Remote Sensing applied to Coastal monitoring</w:t>
      </w:r>
    </w:p>
    <w:p>
      <w:pPr>
        <w:pStyle w:val="FirstParagraph"/>
      </w:pPr>
      <w:r>
        <w:t xml:space="preserve">Regulatory frameworks, such as the Water Framework Directive (WFD) and the Marine Strategy Framework Directive (MSFD), emphasize the need for regular mapping of marine habitats to monitor ecological health. These directives utilize habitat diversity as a bioindicator of coastal and estuarine water quality</w:t>
      </w:r>
      <w:r>
        <w:t xml:space="preserve"> </w:t>
      </w:r>
      <w:r>
        <w:t xml:space="preserve">(Borja et al., 2013; Zoffoli et al., 2021a)</w:t>
      </w:r>
      <w:r>
        <w:t xml:space="preserve">.</w:t>
      </w:r>
    </w:p>
    <w:p>
      <w:pPr>
        <w:pStyle w:val="BodyText"/>
      </w:pPr>
      <w:r>
        <w:t xml:space="preserve">Satellite remote sensing has emerged as a promising tool for studying essential biodiversity variables in these habitats</w:t>
      </w:r>
      <w:r>
        <w:t xml:space="preserve"> </w:t>
      </w:r>
      <w:r>
        <w:t xml:space="preserve">(Pereira et al., 2013a; Skidmore et al., 2015)</w:t>
      </w:r>
      <w:r>
        <w:t xml:space="preserve">. Remote sensing offers several advantages over in situ sampling: repeated monitoring over large-scale coverage, high-frequency data acquisition, enabling seasonal and phenological studies, reduced costs and logistical challenges compared to field surveys, reconstruction of past conditions when used long time-series.</w:t>
      </w:r>
    </w:p>
    <w:p>
      <w:pPr>
        <w:pStyle w:val="BodyText"/>
      </w:pPr>
      <w:r>
        <w:t xml:space="preserve">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Méléder et al., 2003)</w:t>
      </w:r>
      <w:r>
        <w:t xml:space="preserve">.</w:t>
      </w:r>
    </w:p>
    <w:p>
      <w:pPr>
        <w:pStyle w:val="Compact"/>
        <w:numPr>
          <w:ilvl w:val="0"/>
          <w:numId w:val="1006"/>
        </w:numPr>
      </w:pPr>
      <w:r>
        <w:t xml:space="preserve">EOV EBV</w:t>
      </w:r>
    </w:p>
    <w:p>
      <w:pPr>
        <w:pStyle w:val="Compact"/>
        <w:numPr>
          <w:ilvl w:val="0"/>
          <w:numId w:val="1006"/>
        </w:numPr>
      </w:pPr>
      <w:r>
        <w:t xml:space="preserve">Muller-Karger</w:t>
      </w:r>
    </w:p>
    <w:bookmarkEnd w:id="34"/>
    <w:bookmarkEnd w:id="35"/>
    <w:bookmarkEnd w:id="36"/>
    <w:bookmarkStart w:id="37" w:name="overview"/>
    <w:p>
      <w:pPr>
        <w:pStyle w:val="Heading2"/>
      </w:pPr>
      <w:r>
        <w:t xml:space="preserve">1.2 Overview</w:t>
      </w:r>
    </w:p>
    <w:p>
      <w:pPr>
        <w:pStyle w:val="FirstParagraph"/>
      </w:pPr>
      <w:r>
        <w:t xml:space="preserve">Discriminating between different types of intertidal vegetation using remote sensing poses significant challendes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espacially in heterogenous habitats where these species often co exist.Despite these challenges, advances in spectral resolution and machine learning provide avenues for improved classification.</w:t>
      </w:r>
    </w:p>
    <w:p>
      <w:pPr>
        <w:pStyle w:val="BodyText"/>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G. vermiculophylla provide valuable implications for managing invasive species and conserving native biodiversity.</w:t>
      </w:r>
    </w:p>
    <w:p>
      <w:pPr>
        <w:pStyle w:val="BodyText"/>
      </w:pPr>
      <w:r>
        <w:t xml:space="preserve">Finally,</w:t>
      </w:r>
      <w:r>
        <w:t xml:space="preserve"> </w:t>
      </w: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37"/>
    <w:bookmarkEnd w:id="38"/>
    <w:bookmarkStart w:id="105" w:name="X5946039c2941aedea9148f0862d7b582029c549"/>
    <w:p>
      <w:pPr>
        <w:pStyle w:val="Heading1"/>
      </w:pPr>
      <w:r>
        <w:t xml:space="preserve">2. Hyperspectral classification of intertidal vegetation for coastal biodiversity</w:t>
      </w:r>
    </w:p>
    <w:bookmarkStart w:id="39"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39"/>
    <w:bookmarkStart w:id="61" w:name="materials-and-methods"/>
    <w:p>
      <w:pPr>
        <w:pStyle w:val="Heading2"/>
      </w:pPr>
      <w:r>
        <w:t xml:space="preserve">2.2 Materials and Methods</w:t>
      </w:r>
    </w:p>
    <w:bookmarkStart w:id="5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4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41" name="Picture"/>
                  <a:graphic>
                    <a:graphicData uri="http://schemas.openxmlformats.org/drawingml/2006/picture">
                      <pic:pic>
                        <pic:nvPicPr>
                          <pic:cNvPr descr="Chapter2/Figs/SPECIESTABLE.png" id="42" name="Picture"/>
                          <pic:cNvPicPr>
                            <a:picLocks noChangeArrowheads="1" noChangeAspect="1"/>
                          </pic:cNvPicPr>
                        </pic:nvPicPr>
                        <pic:blipFill>
                          <a:blip r:embed="rId40"/>
                          <a:stretch>
                            <a:fillRect/>
                          </a:stretch>
                        </pic:blipFill>
                        <pic:spPr bwMode="auto">
                          <a:xfrm>
                            <a:off x="0" y="0"/>
                            <a:ext cx="5646420" cy="3556919"/>
                          </a:xfrm>
                          <a:prstGeom prst="rect">
                            <a:avLst/>
                          </a:prstGeom>
                          <a:noFill/>
                          <a:ln w="9525">
                            <a:noFill/>
                            <a:headEnd/>
                            <a:tailEnd/>
                          </a:ln>
                        </pic:spPr>
                      </pic:pic>
                    </a:graphicData>
                  </a:graphic>
                </wp:inline>
              </w:drawing>
            </w:r>
          </w:p>
          <w:bookmarkEnd w:id="43"/>
        </w:tc>
      </w:tr>
    </w:tbl>
    <w:tbl>
      <w:tblPr>
        <w:tblStyle w:val="Table"/>
        <w:tblW w:type="pct" w:w="5000"/>
        <w:tblLayout w:type="fixed"/>
        <w:tblLook w:firstRow="0" w:lastRow="0" w:firstColumn="0" w:lastColumn="0" w:noHBand="0" w:noVBand="0" w:val="0000"/>
      </w:tblPr>
      <w:tblGrid>
        <w:gridCol w:w="7920"/>
      </w:tblGrid>
      <w:tr>
        <w:tc>
          <w:tcPr/>
          <w:bookmarkStart w:id="47" w:name="fig-Images"/>
          <w:p>
            <w:pPr>
              <w:pStyle w:val="Compact"/>
              <w:jc w:val="center"/>
            </w:pPr>
            <w:r>
              <w:drawing>
                <wp:inline>
                  <wp:extent cx="5401056" cy="3444240"/>
                  <wp:effectExtent b="0" l="0" r="0" t="0"/>
                  <wp:docPr descr="" title="" id="45" name="Picture"/>
                  <a:graphic>
                    <a:graphicData uri="http://schemas.openxmlformats.org/drawingml/2006/picture">
                      <pic:pic>
                        <pic:nvPicPr>
                          <pic:cNvPr descr="Chapter2/Figs/Figure1.jpg" id="46" name="Picture"/>
                          <pic:cNvPicPr>
                            <a:picLocks noChangeArrowheads="1" noChangeAspect="1"/>
                          </pic:cNvPicPr>
                        </pic:nvPicPr>
                        <pic:blipFill>
                          <a:blip r:embed="rId4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4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51" w:name="fig-FIGMAP"/>
          <w:p>
            <w:pPr>
              <w:pStyle w:val="Compact"/>
              <w:jc w:val="center"/>
            </w:pPr>
            <w:r>
              <w:drawing>
                <wp:inline>
                  <wp:extent cx="5466283" cy="5027371"/>
                  <wp:effectExtent b="0" l="0" r="0" t="0"/>
                  <wp:docPr descr="" title="" id="49" name="Picture"/>
                  <a:graphic>
                    <a:graphicData uri="http://schemas.openxmlformats.org/drawingml/2006/picture">
                      <pic:pic>
                        <pic:nvPicPr>
                          <pic:cNvPr descr="Chapter2/Figs/Figure2.jpg" id="50" name="Picture"/>
                          <pic:cNvPicPr>
                            <a:picLocks noChangeArrowheads="1" noChangeAspect="1"/>
                          </pic:cNvPicPr>
                        </pic:nvPicPr>
                        <pic:blipFill>
                          <a:blip r:embed="rId4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51"/>
        </w:tc>
      </w:tr>
    </w:tbl>
    <w:bookmarkEnd w:id="52"/>
    <w:bookmarkStart w:id="60" w:name="data-analysis"/>
    <w:p>
      <w:pPr>
        <w:pStyle w:val="Heading3"/>
      </w:pPr>
      <w:r>
        <w:t xml:space="preserve">2.2.2 Data Analysis</w:t>
      </w:r>
    </w:p>
    <w:bookmarkStart w:id="5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56" w:name="fig-SpectraDegFIG"/>
          <w:p>
            <w:pPr>
              <w:pStyle w:val="Compact"/>
              <w:jc w:val="center"/>
            </w:pPr>
            <w:r>
              <w:drawing>
                <wp:inline>
                  <wp:extent cx="5646420" cy="5741879"/>
                  <wp:effectExtent b="0" l="0" r="0" t="0"/>
                  <wp:docPr descr="" title="" id="54" name="Picture"/>
                  <a:graphic>
                    <a:graphicData uri="http://schemas.openxmlformats.org/drawingml/2006/picture">
                      <pic:pic>
                        <pic:nvPicPr>
                          <pic:cNvPr descr="Chapter2/Figs/Figure3.jpg" id="55" name="Picture"/>
                          <pic:cNvPicPr>
                            <a:picLocks noChangeArrowheads="1" noChangeAspect="1"/>
                          </pic:cNvPicPr>
                        </pic:nvPicPr>
                        <pic:blipFill>
                          <a:blip r:embed="rId5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56"/>
        </w:tc>
      </w:tr>
    </w:tbl>
    <w:bookmarkEnd w:id="57"/>
    <w:bookmarkStart w:id="58"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58"/>
    <w:bookmarkStart w:id="59"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59"/>
    <w:bookmarkEnd w:id="60"/>
    <w:bookmarkEnd w:id="61"/>
    <w:bookmarkStart w:id="94" w:name="results"/>
    <w:p>
      <w:pPr>
        <w:pStyle w:val="Heading2"/>
      </w:pPr>
      <w:r>
        <w:t xml:space="preserve">2.3 Results</w:t>
      </w:r>
    </w:p>
    <w:bookmarkStart w:id="66"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65" w:name="fig-SpectraFIG"/>
          <w:p>
            <w:pPr>
              <w:pStyle w:val="Compact"/>
              <w:jc w:val="center"/>
            </w:pPr>
            <w:r>
              <w:drawing>
                <wp:inline>
                  <wp:extent cx="4572000" cy="4511649"/>
                  <wp:effectExtent b="0" l="0" r="0" t="0"/>
                  <wp:docPr descr="" title="" id="63" name="Picture"/>
                  <a:graphic>
                    <a:graphicData uri="http://schemas.openxmlformats.org/drawingml/2006/picture">
                      <pic:pic>
                        <pic:nvPicPr>
                          <pic:cNvPr descr="Chapter2/Figs/Figure4.jpg" id="64" name="Picture"/>
                          <pic:cNvPicPr>
                            <a:picLocks noChangeArrowheads="1" noChangeAspect="1"/>
                          </pic:cNvPicPr>
                        </pic:nvPicPr>
                        <pic:blipFill>
                          <a:blip r:embed="rId62"/>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65"/>
        </w:tc>
      </w:tr>
    </w:tbl>
    <w:bookmarkEnd w:id="66"/>
    <w:bookmarkStart w:id="71"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70" w:name="fig-MDSFIG"/>
          <w:p>
            <w:pPr>
              <w:pStyle w:val="Compact"/>
              <w:jc w:val="center"/>
            </w:pPr>
            <w:r>
              <w:drawing>
                <wp:inline>
                  <wp:extent cx="5241340" cy="5186476"/>
                  <wp:effectExtent b="0" l="0" r="0" t="0"/>
                  <wp:docPr descr="" title="" id="68" name="Picture"/>
                  <a:graphic>
                    <a:graphicData uri="http://schemas.openxmlformats.org/drawingml/2006/picture">
                      <pic:pic>
                        <pic:nvPicPr>
                          <pic:cNvPr descr="Chapter2/Figs/Figure5.jpg" id="69" name="Picture"/>
                          <pic:cNvPicPr>
                            <a:picLocks noChangeArrowheads="1" noChangeAspect="1"/>
                          </pic:cNvPicPr>
                        </pic:nvPicPr>
                        <pic:blipFill>
                          <a:blip r:embed="rId67"/>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70"/>
        </w:tc>
      </w:tr>
    </w:tbl>
    <w:bookmarkEnd w:id="71"/>
    <w:bookmarkStart w:id="88"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75" w:name="fig-MetricsFIG"/>
          <w:p>
            <w:pPr>
              <w:pStyle w:val="Compact"/>
              <w:jc w:val="center"/>
            </w:pPr>
            <w:r>
              <w:drawing>
                <wp:inline>
                  <wp:extent cx="4998110" cy="5012740"/>
                  <wp:effectExtent b="0" l="0" r="0" t="0"/>
                  <wp:docPr descr="" title="" id="73" name="Picture"/>
                  <a:graphic>
                    <a:graphicData uri="http://schemas.openxmlformats.org/drawingml/2006/picture">
                      <pic:pic>
                        <pic:nvPicPr>
                          <pic:cNvPr descr="Chapter2/Figs/Figure6.jpg" id="74" name="Picture"/>
                          <pic:cNvPicPr>
                            <a:picLocks noChangeArrowheads="1" noChangeAspect="1"/>
                          </pic:cNvPicPr>
                        </pic:nvPicPr>
                        <pic:blipFill>
                          <a:blip r:embed="rId72"/>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75"/>
        </w:tc>
      </w:tr>
    </w:tbl>
    <w:tbl>
      <w:tblPr>
        <w:tblStyle w:val="Table"/>
        <w:tblW w:type="pct" w:w="5000"/>
        <w:tblLayout w:type="fixed"/>
        <w:tblLook w:firstRow="0" w:lastRow="0" w:firstColumn="0" w:lastColumn="0" w:noHBand="0" w:noVBand="0" w:val="0000"/>
      </w:tblPr>
      <w:tblGrid>
        <w:gridCol w:w="7920"/>
      </w:tblGrid>
      <w:tr>
        <w:tc>
          <w:tcPr/>
          <w:bookmarkStart w:id="79"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77" name="Picture"/>
                  <a:graphic>
                    <a:graphicData uri="http://schemas.openxmlformats.org/drawingml/2006/picture">
                      <pic:pic>
                        <pic:nvPicPr>
                          <pic:cNvPr descr="Chapter2/Figs/metricsTable.png" id="78" name="Picture"/>
                          <pic:cNvPicPr>
                            <a:picLocks noChangeArrowheads="1" noChangeAspect="1"/>
                          </pic:cNvPicPr>
                        </pic:nvPicPr>
                        <pic:blipFill>
                          <a:blip r:embed="rId76"/>
                          <a:stretch>
                            <a:fillRect/>
                          </a:stretch>
                        </pic:blipFill>
                        <pic:spPr bwMode="auto">
                          <a:xfrm>
                            <a:off x="0" y="0"/>
                            <a:ext cx="5646420" cy="1870321"/>
                          </a:xfrm>
                          <a:prstGeom prst="rect">
                            <a:avLst/>
                          </a:prstGeom>
                          <a:noFill/>
                          <a:ln w="9525">
                            <a:noFill/>
                            <a:headEnd/>
                            <a:tailEnd/>
                          </a:ln>
                        </pic:spPr>
                      </pic:pic>
                    </a:graphicData>
                  </a:graphic>
                </wp:inline>
              </w:drawing>
            </w:r>
          </w:p>
          <w:bookmarkEnd w:id="79"/>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83" w:name="fig-VIPFIG"/>
          <w:p>
            <w:pPr>
              <w:pStyle w:val="Compact"/>
              <w:jc w:val="center"/>
            </w:pPr>
            <w:r>
              <w:drawing>
                <wp:inline>
                  <wp:extent cx="4753051" cy="4694529"/>
                  <wp:effectExtent b="0" l="0" r="0" t="0"/>
                  <wp:docPr descr="" title="" id="81" name="Picture"/>
                  <a:graphic>
                    <a:graphicData uri="http://schemas.openxmlformats.org/drawingml/2006/picture">
                      <pic:pic>
                        <pic:nvPicPr>
                          <pic:cNvPr descr="Chapter2/Figs/Figure7.jpg" id="82" name="Picture"/>
                          <pic:cNvPicPr>
                            <a:picLocks noChangeArrowheads="1" noChangeAspect="1"/>
                          </pic:cNvPicPr>
                        </pic:nvPicPr>
                        <pic:blipFill>
                          <a:blip r:embed="rId80"/>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83"/>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87" w:name="fig-VIPFunction"/>
          <w:p>
            <w:pPr>
              <w:pStyle w:val="Compact"/>
              <w:jc w:val="center"/>
            </w:pPr>
            <w:r>
              <w:drawing>
                <wp:inline>
                  <wp:extent cx="5226710" cy="5171846"/>
                  <wp:effectExtent b="0" l="0" r="0" t="0"/>
                  <wp:docPr descr="" title="" id="85" name="Picture"/>
                  <a:graphic>
                    <a:graphicData uri="http://schemas.openxmlformats.org/drawingml/2006/picture">
                      <pic:pic>
                        <pic:nvPicPr>
                          <pic:cNvPr descr="Chapter2/Figs/Figure8.jpg" id="86" name="Picture"/>
                          <pic:cNvPicPr>
                            <a:picLocks noChangeArrowheads="1" noChangeAspect="1"/>
                          </pic:cNvPicPr>
                        </pic:nvPicPr>
                        <pic:blipFill>
                          <a:blip r:embed="rId84"/>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87"/>
        </w:tc>
      </w:tr>
    </w:tbl>
    <w:bookmarkEnd w:id="88"/>
    <w:bookmarkStart w:id="93"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92" w:name="fig-ConfMatFIG"/>
          <w:p>
            <w:pPr>
              <w:pStyle w:val="Compact"/>
              <w:jc w:val="center"/>
            </w:pPr>
            <w:r>
              <w:drawing>
                <wp:inline>
                  <wp:extent cx="4319016" cy="4306824"/>
                  <wp:effectExtent b="0" l="0" r="0" t="0"/>
                  <wp:docPr descr="" title="" id="90" name="Picture"/>
                  <a:graphic>
                    <a:graphicData uri="http://schemas.openxmlformats.org/drawingml/2006/picture">
                      <pic:pic>
                        <pic:nvPicPr>
                          <pic:cNvPr descr="Chapter2/Figs/Figure9.jpg" id="91" name="Picture"/>
                          <pic:cNvPicPr>
                            <a:picLocks noChangeArrowheads="1" noChangeAspect="1"/>
                          </pic:cNvPicPr>
                        </pic:nvPicPr>
                        <pic:blipFill>
                          <a:blip r:embed="rId89"/>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92"/>
        </w:tc>
      </w:tr>
    </w:tbl>
    <w:bookmarkEnd w:id="93"/>
    <w:bookmarkEnd w:id="94"/>
    <w:bookmarkStart w:id="104" w:name="discussion"/>
    <w:p>
      <w:pPr>
        <w:pStyle w:val="Heading2"/>
      </w:pPr>
      <w:r>
        <w:t xml:space="preserve">2.4 Discussion</w:t>
      </w:r>
    </w:p>
    <w:bookmarkStart w:id="95"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95"/>
    <w:bookmarkStart w:id="100"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99"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97" name="Picture"/>
                  <a:graphic>
                    <a:graphicData uri="http://schemas.openxmlformats.org/drawingml/2006/picture">
                      <pic:pic>
                        <pic:nvPicPr>
                          <pic:cNvPr descr="Chapter2/Figs/pigmentTable.png" id="98" name="Picture"/>
                          <pic:cNvPicPr>
                            <a:picLocks noChangeArrowheads="1" noChangeAspect="1"/>
                          </pic:cNvPicPr>
                        </pic:nvPicPr>
                        <pic:blipFill>
                          <a:blip r:embed="rId96"/>
                          <a:stretch>
                            <a:fillRect/>
                          </a:stretch>
                        </pic:blipFill>
                        <pic:spPr bwMode="auto">
                          <a:xfrm>
                            <a:off x="0" y="0"/>
                            <a:ext cx="5646420" cy="1510798"/>
                          </a:xfrm>
                          <a:prstGeom prst="rect">
                            <a:avLst/>
                          </a:prstGeom>
                          <a:noFill/>
                          <a:ln w="9525">
                            <a:noFill/>
                            <a:headEnd/>
                            <a:tailEnd/>
                          </a:ln>
                        </pic:spPr>
                      </pic:pic>
                    </a:graphicData>
                  </a:graphic>
                </wp:inline>
              </w:drawing>
            </w:r>
          </w:p>
          <w:bookmarkEnd w:id="99"/>
        </w:tc>
      </w:tr>
    </w:tbl>
    <w:bookmarkEnd w:id="100"/>
    <w:bookmarkStart w:id="101"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01"/>
    <w:bookmarkStart w:id="102"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02"/>
    <w:bookmarkStart w:id="103"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03"/>
    <w:bookmarkEnd w:id="104"/>
    <w:bookmarkEnd w:id="105"/>
    <w:bookmarkStart w:id="199" w:name="X27e1cd8292c123eed0e7ee2bdbf2cbaf1b8c277"/>
    <w:p>
      <w:pPr>
        <w:pStyle w:val="Heading1"/>
      </w:pPr>
      <w:r>
        <w:t xml:space="preserve">3. Discriminating Seagrasses from Green Macroalgae in European Intertidal Areas Using High-Resolution Multispectral Drone Imagery</w:t>
      </w:r>
    </w:p>
    <w:bookmarkStart w:id="106"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06"/>
    <w:bookmarkStart w:id="141" w:name="material-methods"/>
    <w:p>
      <w:pPr>
        <w:pStyle w:val="Heading2"/>
      </w:pPr>
      <w:r>
        <w:t xml:space="preserve">3.2 Material &amp; Methods</w:t>
      </w:r>
    </w:p>
    <w:bookmarkStart w:id="111"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10" w:name="fig-map"/>
          <w:p>
            <w:pPr>
              <w:pStyle w:val="Compact"/>
              <w:jc w:val="center"/>
            </w:pPr>
            <w:r>
              <w:drawing>
                <wp:inline>
                  <wp:extent cx="5646420" cy="5646420"/>
                  <wp:effectExtent b="0" l="0" r="0" t="0"/>
                  <wp:docPr descr="" title="" id="108" name="Picture"/>
                  <a:graphic>
                    <a:graphicData uri="http://schemas.openxmlformats.org/drawingml/2006/picture">
                      <pic:pic>
                        <pic:nvPicPr>
                          <pic:cNvPr descr="Chapter3/Figs/Figure1.png" id="109" name="Picture"/>
                          <pic:cNvPicPr>
                            <a:picLocks noChangeArrowheads="1" noChangeAspect="1"/>
                          </pic:cNvPicPr>
                        </pic:nvPicPr>
                        <pic:blipFill>
                          <a:blip r:embed="rId10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10"/>
        </w:tc>
      </w:tr>
    </w:tbl>
    <w:bookmarkEnd w:id="111"/>
    <w:bookmarkStart w:id="122" w:name="field-sampling"/>
    <w:p>
      <w:pPr>
        <w:pStyle w:val="Heading3"/>
      </w:pPr>
      <w:r>
        <w:t xml:space="preserve">3.2.2 Field sampling</w:t>
      </w:r>
    </w:p>
    <w:bookmarkStart w:id="116"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15"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13" name="Picture"/>
                  <a:graphic>
                    <a:graphicData uri="http://schemas.openxmlformats.org/drawingml/2006/picture">
                      <pic:pic>
                        <pic:nvPicPr>
                          <pic:cNvPr descr="Chapter3/Figs/Table1.png" id="114" name="Picture"/>
                          <pic:cNvPicPr>
                            <a:picLocks noChangeArrowheads="1" noChangeAspect="1"/>
                          </pic:cNvPicPr>
                        </pic:nvPicPr>
                        <pic:blipFill>
                          <a:blip r:embed="rId112"/>
                          <a:stretch>
                            <a:fillRect/>
                          </a:stretch>
                        </pic:blipFill>
                        <pic:spPr bwMode="auto">
                          <a:xfrm>
                            <a:off x="0" y="0"/>
                            <a:ext cx="5646420" cy="2477358"/>
                          </a:xfrm>
                          <a:prstGeom prst="rect">
                            <a:avLst/>
                          </a:prstGeom>
                          <a:noFill/>
                          <a:ln w="9525">
                            <a:noFill/>
                            <a:headEnd/>
                            <a:tailEnd/>
                          </a:ln>
                        </pic:spPr>
                      </pic:pic>
                    </a:graphicData>
                  </a:graphic>
                </wp:inline>
              </w:drawing>
            </w:r>
          </w:p>
          <w:bookmarkEnd w:id="115"/>
        </w:tc>
      </w:tr>
    </w:tbl>
    <w:bookmarkEnd w:id="116"/>
    <w:bookmarkStart w:id="121"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20" w:name="fig-vegetation"/>
          <w:p>
            <w:pPr>
              <w:pStyle w:val="Compact"/>
              <w:jc w:val="center"/>
            </w:pPr>
            <w:r>
              <w:drawing>
                <wp:inline>
                  <wp:extent cx="5646420" cy="3952494"/>
                  <wp:effectExtent b="0" l="0" r="0" t="0"/>
                  <wp:docPr descr="" title="" id="118" name="Picture"/>
                  <a:graphic>
                    <a:graphicData uri="http://schemas.openxmlformats.org/drawingml/2006/picture">
                      <pic:pic>
                        <pic:nvPicPr>
                          <pic:cNvPr descr="Chapter3/Figs/Figure2.png" id="119" name="Picture"/>
                          <pic:cNvPicPr>
                            <a:picLocks noChangeArrowheads="1" noChangeAspect="1"/>
                          </pic:cNvPicPr>
                        </pic:nvPicPr>
                        <pic:blipFill>
                          <a:blip r:embed="rId117"/>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20"/>
        </w:tc>
      </w:tr>
    </w:tbl>
    <w:bookmarkEnd w:id="121"/>
    <w:bookmarkEnd w:id="122"/>
    <w:bookmarkStart w:id="123"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23"/>
    <w:bookmarkStart w:id="13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7" w:name="fig-workflow"/>
          <w:p>
            <w:pPr>
              <w:pStyle w:val="Compact"/>
              <w:jc w:val="center"/>
            </w:pPr>
            <w:r>
              <w:drawing>
                <wp:inline>
                  <wp:extent cx="5646420" cy="3320212"/>
                  <wp:effectExtent b="0" l="0" r="0" t="0"/>
                  <wp:docPr descr="" title="" id="125" name="Picture"/>
                  <a:graphic>
                    <a:graphicData uri="http://schemas.openxmlformats.org/drawingml/2006/picture">
                      <pic:pic>
                        <pic:nvPicPr>
                          <pic:cNvPr descr="Chapter3/Figs/Figure3.png" id="126" name="Picture"/>
                          <pic:cNvPicPr>
                            <a:picLocks noChangeArrowheads="1" noChangeAspect="1"/>
                          </pic:cNvPicPr>
                        </pic:nvPicPr>
                        <pic:blipFill>
                          <a:blip r:embed="rId124"/>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27"/>
        </w:tc>
      </w:tr>
    </w:tbl>
    <w:bookmarkStart w:id="13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31"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29" name="Picture"/>
                  <a:graphic>
                    <a:graphicData uri="http://schemas.openxmlformats.org/drawingml/2006/picture">
                      <pic:pic>
                        <pic:nvPicPr>
                          <pic:cNvPr descr="Chapter3/Figs/Table2.png" id="130" name="Picture"/>
                          <pic:cNvPicPr>
                            <a:picLocks noChangeArrowheads="1" noChangeAspect="1"/>
                          </pic:cNvPicPr>
                        </pic:nvPicPr>
                        <pic:blipFill>
                          <a:blip r:embed="rId128"/>
                          <a:stretch>
                            <a:fillRect/>
                          </a:stretch>
                        </pic:blipFill>
                        <pic:spPr bwMode="auto">
                          <a:xfrm>
                            <a:off x="0" y="0"/>
                            <a:ext cx="5646420" cy="2011714"/>
                          </a:xfrm>
                          <a:prstGeom prst="rect">
                            <a:avLst/>
                          </a:prstGeom>
                          <a:noFill/>
                          <a:ln w="9525">
                            <a:noFill/>
                            <a:headEnd/>
                            <a:tailEnd/>
                          </a:ln>
                        </pic:spPr>
                      </pic:pic>
                    </a:graphicData>
                  </a:graphic>
                </wp:inline>
              </w:drawing>
            </w:r>
          </w:p>
          <w:bookmarkEnd w:id="131"/>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32"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32"/>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33"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33"/>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34"/>
    <w:bookmarkStart w:id="13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35"/>
    <w:bookmarkStart w:id="13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36"/>
    <w:bookmarkEnd w:id="137"/>
    <w:bookmarkStart w:id="13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38"/>
    <w:bookmarkStart w:id="13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39"/>
    <w:bookmarkStart w:id="14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40"/>
    <w:bookmarkEnd w:id="141"/>
    <w:bookmarkStart w:id="184" w:name="results-1"/>
    <w:p>
      <w:pPr>
        <w:pStyle w:val="Heading2"/>
      </w:pPr>
      <w:r>
        <w:t xml:space="preserve">3.3 Results</w:t>
      </w:r>
    </w:p>
    <w:bookmarkStart w:id="14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5" w:name="fig-CompareRef"/>
          <w:p>
            <w:pPr>
              <w:pStyle w:val="Compact"/>
              <w:jc w:val="center"/>
            </w:pPr>
            <w:r>
              <w:drawing>
                <wp:inline>
                  <wp:extent cx="5646420" cy="2426196"/>
                  <wp:effectExtent b="0" l="0" r="0" t="0"/>
                  <wp:docPr descr="" title="" id="143" name="Picture"/>
                  <a:graphic>
                    <a:graphicData uri="http://schemas.openxmlformats.org/drawingml/2006/picture">
                      <pic:pic>
                        <pic:nvPicPr>
                          <pic:cNvPr descr="Chapter3/Figs/Figure4.png" id="144" name="Picture"/>
                          <pic:cNvPicPr>
                            <a:picLocks noChangeArrowheads="1" noChangeAspect="1"/>
                          </pic:cNvPicPr>
                        </pic:nvPicPr>
                        <pic:blipFill>
                          <a:blip r:embed="rId14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4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46"/>
    <w:bookmarkStart w:id="16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50" w:name="fig-GafLow"/>
          <w:p>
            <w:pPr>
              <w:pStyle w:val="Compact"/>
              <w:jc w:val="center"/>
            </w:pPr>
            <w:r>
              <w:drawing>
                <wp:inline>
                  <wp:extent cx="5646420" cy="2937902"/>
                  <wp:effectExtent b="0" l="0" r="0" t="0"/>
                  <wp:docPr descr="" title="" id="148" name="Picture"/>
                  <a:graphic>
                    <a:graphicData uri="http://schemas.openxmlformats.org/drawingml/2006/picture">
                      <pic:pic>
                        <pic:nvPicPr>
                          <pic:cNvPr descr="Chapter3/Figs/Figure5.png" id="149" name="Picture"/>
                          <pic:cNvPicPr>
                            <a:picLocks noChangeArrowheads="1" noChangeAspect="1"/>
                          </pic:cNvPicPr>
                        </pic:nvPicPr>
                        <pic:blipFill>
                          <a:blip r:embed="rId14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5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154" w:name="fig-GafHigh"/>
          <w:p>
            <w:pPr>
              <w:pStyle w:val="Compact"/>
              <w:jc w:val="center"/>
            </w:pPr>
            <w:r>
              <w:drawing>
                <wp:inline>
                  <wp:extent cx="5646420" cy="4800778"/>
                  <wp:effectExtent b="0" l="0" r="0" t="0"/>
                  <wp:docPr descr="" title="" id="152" name="Picture"/>
                  <a:graphic>
                    <a:graphicData uri="http://schemas.openxmlformats.org/drawingml/2006/picture">
                      <pic:pic>
                        <pic:nvPicPr>
                          <pic:cNvPr descr="Chapter3/Figs/Figure6.png" id="153" name="Picture"/>
                          <pic:cNvPicPr>
                            <a:picLocks noChangeArrowheads="1" noChangeAspect="1"/>
                          </pic:cNvPicPr>
                        </pic:nvPicPr>
                        <pic:blipFill>
                          <a:blip r:embed="rId15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15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158" w:name="fig-Boat"/>
          <w:p>
            <w:pPr>
              <w:pStyle w:val="Compact"/>
              <w:jc w:val="center"/>
            </w:pPr>
            <w:r>
              <w:drawing>
                <wp:inline>
                  <wp:extent cx="5646420" cy="7129639"/>
                  <wp:effectExtent b="0" l="0" r="0" t="0"/>
                  <wp:docPr descr="" title="" id="156" name="Picture"/>
                  <a:graphic>
                    <a:graphicData uri="http://schemas.openxmlformats.org/drawingml/2006/picture">
                      <pic:pic>
                        <pic:nvPicPr>
                          <pic:cNvPr descr="Chapter3/Figs/Figure7.png" id="157" name="Picture"/>
                          <pic:cNvPicPr>
                            <a:picLocks noChangeArrowheads="1" noChangeAspect="1"/>
                          </pic:cNvPicPr>
                        </pic:nvPicPr>
                        <pic:blipFill>
                          <a:blip r:embed="rId15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15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162" w:name="fig-Dike"/>
          <w:p>
            <w:pPr>
              <w:pStyle w:val="Compact"/>
              <w:jc w:val="center"/>
            </w:pPr>
            <w:r>
              <w:drawing>
                <wp:inline>
                  <wp:extent cx="5646420" cy="4714079"/>
                  <wp:effectExtent b="0" l="0" r="0" t="0"/>
                  <wp:docPr descr="" title="" id="160" name="Picture"/>
                  <a:graphic>
                    <a:graphicData uri="http://schemas.openxmlformats.org/drawingml/2006/picture">
                      <pic:pic>
                        <pic:nvPicPr>
                          <pic:cNvPr descr="Chapter3/Figs/Figure8.png" id="161" name="Picture"/>
                          <pic:cNvPicPr>
                            <a:picLocks noChangeArrowheads="1" noChangeAspect="1"/>
                          </pic:cNvPicPr>
                        </pic:nvPicPr>
                        <pic:blipFill>
                          <a:blip r:embed="rId15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162"/>
        </w:tc>
      </w:tr>
    </w:tbl>
    <w:bookmarkEnd w:id="163"/>
    <w:bookmarkStart w:id="16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7" w:name="fig-Validation"/>
          <w:p>
            <w:pPr>
              <w:pStyle w:val="Compact"/>
              <w:jc w:val="center"/>
            </w:pPr>
            <w:r>
              <w:drawing>
                <wp:inline>
                  <wp:extent cx="5646420" cy="3781151"/>
                  <wp:effectExtent b="0" l="0" r="0" t="0"/>
                  <wp:docPr descr="" title="" id="165" name="Picture"/>
                  <a:graphic>
                    <a:graphicData uri="http://schemas.openxmlformats.org/drawingml/2006/picture">
                      <pic:pic>
                        <pic:nvPicPr>
                          <pic:cNvPr descr="Chapter3/Figs/Figure9.png" id="166" name="Picture"/>
                          <pic:cNvPicPr>
                            <a:picLocks noChangeArrowheads="1" noChangeAspect="1"/>
                          </pic:cNvPicPr>
                        </pic:nvPicPr>
                        <pic:blipFill>
                          <a:blip r:embed="rId16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16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168"/>
    <w:bookmarkStart w:id="17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2" w:name="fig-VIP"/>
          <w:p>
            <w:pPr>
              <w:pStyle w:val="Compact"/>
              <w:jc w:val="center"/>
            </w:pPr>
            <w:r>
              <w:drawing>
                <wp:inline>
                  <wp:extent cx="5646420" cy="4164933"/>
                  <wp:effectExtent b="0" l="0" r="0" t="0"/>
                  <wp:docPr descr="" title="" id="170" name="Picture"/>
                  <a:graphic>
                    <a:graphicData uri="http://schemas.openxmlformats.org/drawingml/2006/picture">
                      <pic:pic>
                        <pic:nvPicPr>
                          <pic:cNvPr descr="Chapter3/Figs/Figure10.png" id="171" name="Picture"/>
                          <pic:cNvPicPr>
                            <a:picLocks noChangeArrowheads="1" noChangeAspect="1"/>
                          </pic:cNvPicPr>
                        </pic:nvPicPr>
                        <pic:blipFill>
                          <a:blip r:embed="rId16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17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173"/>
    <w:bookmarkStart w:id="17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177" w:name="fig-pixelsize"/>
          <w:p>
            <w:pPr>
              <w:pStyle w:val="Compact"/>
              <w:jc w:val="center"/>
            </w:pPr>
            <w:r>
              <w:drawing>
                <wp:inline>
                  <wp:extent cx="5349240" cy="4312690"/>
                  <wp:effectExtent b="0" l="0" r="0" t="0"/>
                  <wp:docPr descr="" title="" id="175" name="Picture"/>
                  <a:graphic>
                    <a:graphicData uri="http://schemas.openxmlformats.org/drawingml/2006/picture">
                      <pic:pic>
                        <pic:nvPicPr>
                          <pic:cNvPr descr="Chapter3/Figs/Figure11.png" id="176" name="Picture"/>
                          <pic:cNvPicPr>
                            <a:picLocks noChangeArrowheads="1" noChangeAspect="1"/>
                          </pic:cNvPicPr>
                        </pic:nvPicPr>
                        <pic:blipFill>
                          <a:blip r:embed="rId17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77"/>
        </w:tc>
      </w:tr>
    </w:tbl>
    <w:bookmarkEnd w:id="178"/>
    <w:bookmarkStart w:id="18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2" w:name="fig-upscaling"/>
          <w:p>
            <w:pPr>
              <w:pStyle w:val="Compact"/>
              <w:jc w:val="center"/>
            </w:pPr>
            <w:r>
              <w:drawing>
                <wp:inline>
                  <wp:extent cx="5646420" cy="7578268"/>
                  <wp:effectExtent b="0" l="0" r="0" t="0"/>
                  <wp:docPr descr="" title="" id="180" name="Picture"/>
                  <a:graphic>
                    <a:graphicData uri="http://schemas.openxmlformats.org/drawingml/2006/picture">
                      <pic:pic>
                        <pic:nvPicPr>
                          <pic:cNvPr descr="Chapter3/Figs/Figure12.png" id="181" name="Picture"/>
                          <pic:cNvPicPr>
                            <a:picLocks noChangeArrowheads="1" noChangeAspect="1"/>
                          </pic:cNvPicPr>
                        </pic:nvPicPr>
                        <pic:blipFill>
                          <a:blip r:embed="rId17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8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83"/>
    <w:bookmarkEnd w:id="184"/>
    <w:bookmarkStart w:id="197" w:name="discussion-1"/>
    <w:p>
      <w:pPr>
        <w:pStyle w:val="Heading2"/>
      </w:pPr>
      <w:r>
        <w:t xml:space="preserve">3.4 Discussion</w:t>
      </w:r>
    </w:p>
    <w:bookmarkStart w:id="19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188" w:name="fig-Pigm"/>
          <w:p>
            <w:pPr>
              <w:pStyle w:val="Compact"/>
              <w:jc w:val="center"/>
            </w:pPr>
            <w:r>
              <w:drawing>
                <wp:inline>
                  <wp:extent cx="5943600" cy="2877014"/>
                  <wp:effectExtent b="0" l="0" r="0" t="0"/>
                  <wp:docPr descr="" title="" id="186" name="Picture"/>
                  <a:graphic>
                    <a:graphicData uri="http://schemas.openxmlformats.org/drawingml/2006/picture">
                      <pic:pic>
                        <pic:nvPicPr>
                          <pic:cNvPr descr="Chapter3/Figs/Figure13.png" id="187" name="Picture"/>
                          <pic:cNvPicPr>
                            <a:picLocks noChangeArrowheads="1" noChangeAspect="1"/>
                          </pic:cNvPicPr>
                        </pic:nvPicPr>
                        <pic:blipFill>
                          <a:blip r:embed="rId18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188"/>
        </w:tc>
      </w:tr>
    </w:tbl>
    <w:tbl>
      <w:tblPr>
        <w:tblStyle w:val="Table"/>
        <w:tblW w:type="pct" w:w="5000"/>
        <w:tblLayout w:type="fixed"/>
        <w:tblLook w:firstRow="0" w:lastRow="0" w:firstColumn="0" w:lastColumn="0" w:noHBand="0" w:noVBand="0" w:val="0000"/>
      </w:tblPr>
      <w:tblGrid>
        <w:gridCol w:w="7920"/>
      </w:tblGrid>
      <w:tr>
        <w:tc>
          <w:tcPr/>
          <w:bookmarkStart w:id="192" w:name="fig-ValidationGreen"/>
          <w:p>
            <w:pPr>
              <w:pStyle w:val="Compact"/>
              <w:jc w:val="center"/>
            </w:pPr>
            <w:r>
              <w:drawing>
                <wp:inline>
                  <wp:extent cx="2971800" cy="2121448"/>
                  <wp:effectExtent b="0" l="0" r="0" t="0"/>
                  <wp:docPr descr="" title="" id="190" name="Picture"/>
                  <a:graphic>
                    <a:graphicData uri="http://schemas.openxmlformats.org/drawingml/2006/picture">
                      <pic:pic>
                        <pic:nvPicPr>
                          <pic:cNvPr descr="Chapter3/Figs/Figure14.png" id="191" name="Picture"/>
                          <pic:cNvPicPr>
                            <a:picLocks noChangeArrowheads="1" noChangeAspect="1"/>
                          </pic:cNvPicPr>
                        </pic:nvPicPr>
                        <pic:blipFill>
                          <a:blip r:embed="rId18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19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193"/>
    <w:bookmarkStart w:id="19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94"/>
    <w:bookmarkStart w:id="19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95"/>
    <w:bookmarkStart w:id="19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96"/>
    <w:bookmarkEnd w:id="197"/>
    <w:bookmarkStart w:id="198"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198"/>
    <w:bookmarkEnd w:id="199"/>
    <w:bookmarkStart w:id="200"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200"/>
    <w:bookmarkStart w:id="459" w:name="references"/>
    <w:p>
      <w:pPr>
        <w:pStyle w:val="Heading1"/>
      </w:pPr>
      <w:r>
        <w:t xml:space="preserve">References</w:t>
      </w:r>
    </w:p>
    <w:bookmarkStart w:id="458" w:name="refs"/>
    <w:bookmarkStart w:id="201" w:name="ref-adade2021"/>
    <w:p>
      <w:pPr>
        <w:pStyle w:val="Bibliography"/>
      </w:pPr>
      <w:r>
        <w:t xml:space="preserve">Adade, R., Aibinu, A.M., Ekumah, B., Asaana, J., 2021. Unmanned aerial vehicle (UAV) applications in coastal zone management—a review. Environmental Monitoring and Assessment 193, 1–12.</w:t>
      </w:r>
    </w:p>
    <w:bookmarkEnd w:id="201"/>
    <w:bookmarkStart w:id="202" w:name="ref-aghanim2020resultats"/>
    <w:p>
      <w:pPr>
        <w:pStyle w:val="Bibliography"/>
      </w:pPr>
      <w:r>
        <w:t xml:space="preserve">Aghanim, N., Dole, H., 2020. Les r</w:t>
      </w:r>
      <w:r>
        <w:t xml:space="preserve">é</w:t>
      </w:r>
      <w:r>
        <w:t xml:space="preserve">sultats cosmologiques de la mission planck. Reflets de la physique 4–7.</w:t>
      </w:r>
    </w:p>
    <w:bookmarkEnd w:id="202"/>
    <w:bookmarkStart w:id="204" w:name="ref-agisoft"/>
    <w:p>
      <w:pPr>
        <w:pStyle w:val="Bibliography"/>
      </w:pPr>
      <w:r>
        <w:t xml:space="preserve">Agisoft, 2019.</w:t>
      </w:r>
      <w:r>
        <w:t xml:space="preserve"> </w:t>
      </w:r>
      <w:hyperlink r:id="rId203">
        <w:r>
          <w:rPr>
            <w:rStyle w:val="Hyperlink"/>
          </w:rPr>
          <w:t xml:space="preserve">Agisoft metashape</w:t>
        </w:r>
      </w:hyperlink>
      <w:r>
        <w:t xml:space="preserve">.</w:t>
      </w:r>
    </w:p>
    <w:bookmarkEnd w:id="204"/>
    <w:bookmarkStart w:id="2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205"/>
    <w:bookmarkStart w:id="207" w:name="ref-ASI2020"/>
    <w:p>
      <w:pPr>
        <w:pStyle w:val="Bibliography"/>
      </w:pPr>
      <w:r>
        <w:t xml:space="preserve">ASI, 2020.</w:t>
      </w:r>
      <w:r>
        <w:t xml:space="preserve"> </w:t>
      </w:r>
      <w:hyperlink r:id="rId206">
        <w:r>
          <w:rPr>
            <w:rStyle w:val="Hyperlink"/>
          </w:rPr>
          <w:t xml:space="preserve">PRISMA products specification document issue 2.3 date 12/03/2020</w:t>
        </w:r>
      </w:hyperlink>
      <w:r>
        <w:t xml:space="preserve">.</w:t>
      </w:r>
    </w:p>
    <w:bookmarkEnd w:id="207"/>
    <w:bookmarkStart w:id="208"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08"/>
    <w:bookmarkStart w:id="209"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09"/>
    <w:bookmarkStart w:id="210" w:name="ref-Bargain2012"/>
    <w:p>
      <w:pPr>
        <w:pStyle w:val="Bibliography"/>
      </w:pPr>
      <w:r>
        <w:t xml:space="preserve">Bargain, A., Robin, M., Le Men, E., Huete, A., Barillé, L., 2012. Spectral response of the seagrass zostera noltii with different sediment backgrounds. Aquatic Botany 98, 45–56.</w:t>
      </w:r>
    </w:p>
    <w:bookmarkEnd w:id="210"/>
    <w:bookmarkStart w:id="212"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11">
        <w:r>
          <w:rPr>
            <w:rStyle w:val="Hyperlink"/>
          </w:rPr>
          <w:t xml:space="preserve">https://doi.org/10.1016/j.jembe.2013.04.012</w:t>
        </w:r>
      </w:hyperlink>
    </w:p>
    <w:bookmarkEnd w:id="212"/>
    <w:bookmarkStart w:id="213"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13"/>
    <w:bookmarkStart w:id="21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14">
        <w:r>
          <w:rPr>
            <w:rStyle w:val="Hyperlink"/>
          </w:rPr>
          <w:t xml:space="preserve">https://doi.org/10.1016/j.rse.2010.12.008</w:t>
        </w:r>
      </w:hyperlink>
    </w:p>
    <w:bookmarkEnd w:id="215"/>
    <w:bookmarkStart w:id="21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16">
        <w:r>
          <w:rPr>
            <w:rStyle w:val="Hyperlink"/>
          </w:rPr>
          <w:t xml:space="preserve">https://doi.org/10.1016/j.aquabot.2009.11.006</w:t>
        </w:r>
      </w:hyperlink>
    </w:p>
    <w:bookmarkEnd w:id="217"/>
    <w:bookmarkStart w:id="218" w:name="ref-beach1997vivo"/>
    <w:p>
      <w:pPr>
        <w:pStyle w:val="Bibliography"/>
      </w:pPr>
      <w:r>
        <w:t xml:space="preserve">Beach, K., Borgeas, H., Nishimura, N., Smith, C., 1997. In vivo absorbance spectra and the ecophysiology of reef macroalgae. Coral Reefs 16, 21–28.</w:t>
      </w:r>
    </w:p>
    <w:bookmarkEnd w:id="218"/>
    <w:bookmarkStart w:id="220"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19">
        <w:r>
          <w:rPr>
            <w:rStyle w:val="Hyperlink"/>
          </w:rPr>
          <w:t xml:space="preserve">https://doi.org/10.1007/s003380050055</w:t>
        </w:r>
      </w:hyperlink>
    </w:p>
    <w:bookmarkEnd w:id="220"/>
    <w:bookmarkStart w:id="22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21">
        <w:r>
          <w:rPr>
            <w:rStyle w:val="Hyperlink"/>
          </w:rPr>
          <w:t xml:space="preserve">https://doi.org/10.1007/s12237-021-00949-8</w:t>
        </w:r>
      </w:hyperlink>
    </w:p>
    <w:bookmarkEnd w:id="222"/>
    <w:bookmarkStart w:id="223"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23"/>
    <w:bookmarkStart w:id="225" w:name="ref-Brondizio2019"/>
    <w:p>
      <w:pPr>
        <w:pStyle w:val="Bibliography"/>
      </w:pPr>
      <w:r>
        <w:t xml:space="preserve">Brondízio, E.S., Settele, J., Díaz, S., Ngo, H.T.(eds)., 2019.</w:t>
      </w:r>
      <w:r>
        <w:t xml:space="preserve"> </w:t>
      </w:r>
      <w:hyperlink r:id="rId224">
        <w:r>
          <w:rPr>
            <w:rStyle w:val="Hyperlink"/>
          </w:rPr>
          <w:t xml:space="preserve">IPBES (2019), Global assessment report of the Intergovernmental Science-Policy Platform on Biodiversity and Ecosystem Services</w:t>
        </w:r>
      </w:hyperlink>
      <w:r>
        <w:t xml:space="preserve">.</w:t>
      </w:r>
    </w:p>
    <w:bookmarkEnd w:id="225"/>
    <w:bookmarkStart w:id="227"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26">
        <w:r>
          <w:rPr>
            <w:rStyle w:val="Hyperlink"/>
          </w:rPr>
          <w:t xml:space="preserve">https://doi.org/10.3390/RS14020307</w:t>
        </w:r>
      </w:hyperlink>
    </w:p>
    <w:bookmarkEnd w:id="227"/>
    <w:bookmarkStart w:id="228"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28"/>
    <w:bookmarkStart w:id="230"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29">
        <w:r>
          <w:rPr>
            <w:rStyle w:val="Hyperlink"/>
          </w:rPr>
          <w:t xml:space="preserve">https://doi.org/10.1139/cjfas-2016-0137</w:t>
        </w:r>
      </w:hyperlink>
    </w:p>
    <w:bookmarkEnd w:id="230"/>
    <w:bookmarkStart w:id="231"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31"/>
    <w:bookmarkStart w:id="232"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32"/>
    <w:bookmarkStart w:id="234"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33">
        <w:r>
          <w:rPr>
            <w:rStyle w:val="Hyperlink"/>
          </w:rPr>
          <w:t xml:space="preserve">https://doi.org/10.1016/j.csr.2013.01.010</w:t>
        </w:r>
      </w:hyperlink>
    </w:p>
    <w:bookmarkEnd w:id="234"/>
    <w:bookmarkStart w:id="236"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35">
        <w:r>
          <w:rPr>
            <w:rStyle w:val="Hyperlink"/>
          </w:rPr>
          <w:t xml:space="preserve">https://doi.org/10.1007/s00227-012-1987-5</w:t>
        </w:r>
      </w:hyperlink>
    </w:p>
    <w:bookmarkEnd w:id="236"/>
    <w:bookmarkStart w:id="237" w:name="ref-casella2020"/>
    <w:p>
      <w:pPr>
        <w:pStyle w:val="Bibliography"/>
      </w:pPr>
      <w:r>
        <w:t xml:space="preserve">Casella, E., Drechsel, J., Winter, C., Benninghoff, M., Rovere, A., 2020. Accuracy of sand beach topography surveying by drones and photogrammetry. Geo-Marine Letters 40, 255–268.</w:t>
      </w:r>
    </w:p>
    <w:bookmarkEnd w:id="237"/>
    <w:bookmarkStart w:id="239"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38">
        <w:r>
          <w:rPr>
            <w:rStyle w:val="Hyperlink"/>
          </w:rPr>
          <w:t xml:space="preserve">https://doi.org/10.1016/j.algal.2017.04.021</w:t>
        </w:r>
      </w:hyperlink>
    </w:p>
    <w:bookmarkEnd w:id="239"/>
    <w:bookmarkStart w:id="240"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40"/>
    <w:bookmarkStart w:id="241" w:name="ref-chefaoui2018dramatic"/>
    <w:p>
      <w:pPr>
        <w:pStyle w:val="Bibliography"/>
      </w:pPr>
      <w:r>
        <w:t xml:space="preserve">Chefaoui, R.M., Duarte, C.M., Serrão, E.A., 2018. Dramatic loss of seagrass habitat under projected climate change in the mediterranean sea. Global change biology 24, 4919–4928.</w:t>
      </w:r>
    </w:p>
    <w:bookmarkEnd w:id="241"/>
    <w:bookmarkStart w:id="242" w:name="ref-christensen1977seaweeds"/>
    <w:p>
      <w:pPr>
        <w:pStyle w:val="Bibliography"/>
      </w:pPr>
      <w:r>
        <w:t xml:space="preserve">Christensen, T., Dixon, P.S., Irvine, L.M., 1977. Seaweeds of the british isles: Tribophyceae (xanthophyceae). British Museum (Natural History).</w:t>
      </w:r>
    </w:p>
    <w:bookmarkEnd w:id="242"/>
    <w:bookmarkStart w:id="24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43"/>
    <w:bookmarkStart w:id="244" w:name="ref-collin2019improving"/>
    <w:p>
      <w:pPr>
        <w:pStyle w:val="Bibliography"/>
      </w:pPr>
      <w:r>
        <w:t xml:space="preserve">Collin, A., Dubois, S., James, D., Houet, T., 2019. Improving intertidal reef mapping using UAV surface, red edge, and near-infrared data. Drones 3, 67.</w:t>
      </w:r>
    </w:p>
    <w:bookmarkEnd w:id="244"/>
    <w:bookmarkStart w:id="245"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45"/>
    <w:bookmarkStart w:id="24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46">
        <w:r>
          <w:rPr>
            <w:rStyle w:val="Hyperlink"/>
          </w:rPr>
          <w:t xml:space="preserve">https://doi.org/10.1016/j.ecolind.2020.107018</w:t>
        </w:r>
      </w:hyperlink>
    </w:p>
    <w:bookmarkEnd w:id="247"/>
    <w:bookmarkStart w:id="248"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48"/>
    <w:bookmarkStart w:id="249"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249"/>
    <w:bookmarkStart w:id="250"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250"/>
    <w:bookmarkStart w:id="252"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251">
        <w:r>
          <w:rPr>
            <w:rStyle w:val="Hyperlink"/>
          </w:rPr>
          <w:t xml:space="preserve">https://doi.org/10.1016/j.rse.2023.113554</w:t>
        </w:r>
      </w:hyperlink>
    </w:p>
    <w:bookmarkEnd w:id="252"/>
    <w:bookmarkStart w:id="253" w:name="ref-Davies2022b"/>
    <w:p>
      <w:pPr>
        <w:pStyle w:val="Bibliography"/>
      </w:pPr>
      <w:r>
        <w:t xml:space="preserve">Davies, B.F.R., Holmes, L., Attrill, M.J., Sheehan, E.V., 2022. Ecosystem benefits of adopting a whole-site approach to MPA management. Fisheries Management and Ecology.</w:t>
      </w:r>
    </w:p>
    <w:bookmarkEnd w:id="253"/>
    <w:bookmarkStart w:id="254"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254"/>
    <w:bookmarkStart w:id="255"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255"/>
    <w:bookmarkStart w:id="257" w:name="ref-BedeGbif"/>
    <w:p>
      <w:pPr>
        <w:pStyle w:val="Bibliography"/>
      </w:pPr>
      <w:r>
        <w:t xml:space="preserve">Davies, B.F.R., Sousa, A.I., Figueira, R., Oiry, S., Gernez, P., Barillé, L., 2023b. Benthic intertidal vegetation from the tagus estuary and aveiro lagoon.</w:t>
      </w:r>
      <w:r>
        <w:t xml:space="preserve"> </w:t>
      </w:r>
      <w:hyperlink r:id="rId256">
        <w:r>
          <w:rPr>
            <w:rStyle w:val="Hyperlink"/>
          </w:rPr>
          <w:t xml:space="preserve">https://doi.org/10.15468/n4ak6x</w:t>
        </w:r>
      </w:hyperlink>
    </w:p>
    <w:bookmarkEnd w:id="257"/>
    <w:bookmarkStart w:id="258"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258"/>
    <w:bookmarkStart w:id="259" w:name="ref-devlin2023nutrients"/>
    <w:p>
      <w:pPr>
        <w:pStyle w:val="Bibliography"/>
      </w:pPr>
      <w:r>
        <w:t xml:space="preserve">Devlin, M., Brodie, J., 2023. Nutrients and eutrophication, in: Marine Pollution–Monitoring, Management and Mitigation. Springer, pp. 75–100.</w:t>
      </w:r>
    </w:p>
    <w:bookmarkEnd w:id="259"/>
    <w:bookmarkStart w:id="261"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260">
        <w:r>
          <w:rPr>
            <w:rStyle w:val="Hyperlink"/>
          </w:rPr>
          <w:t xml:space="preserve">https://doi.org/10.1016/j.rse.2015.01.027</w:t>
        </w:r>
      </w:hyperlink>
    </w:p>
    <w:bookmarkEnd w:id="261"/>
    <w:bookmarkStart w:id="262"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262"/>
    <w:bookmarkStart w:id="264" w:name="ref-Douay2022"/>
    <w:p>
      <w:pPr>
        <w:pStyle w:val="Bibliography"/>
      </w:pPr>
      <w:r>
        <w:t xml:space="preserve">Douay, F., Verpoorter, C., Duong, G., Spilmont, N., Gevaert, F., 2022. New hyperspectral procedure to discriminate intertidal macroalgae. Remote Sensing 14.</w:t>
      </w:r>
      <w:r>
        <w:t xml:space="preserve"> </w:t>
      </w:r>
      <w:hyperlink r:id="rId263">
        <w:r>
          <w:rPr>
            <w:rStyle w:val="Hyperlink"/>
          </w:rPr>
          <w:t xml:space="preserve">https://doi.org/10.3390/rs14020346</w:t>
        </w:r>
      </w:hyperlink>
    </w:p>
    <w:bookmarkEnd w:id="264"/>
    <w:bookmarkStart w:id="26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265"/>
    <w:bookmarkStart w:id="266"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266"/>
    <w:bookmarkStart w:id="267"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267"/>
    <w:bookmarkStart w:id="268"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268"/>
    <w:bookmarkStart w:id="269"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269"/>
    <w:bookmarkStart w:id="270"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270"/>
    <w:bookmarkStart w:id="271"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271"/>
    <w:bookmarkStart w:id="272" w:name="ref-foden2007angiosperms"/>
    <w:p>
      <w:pPr>
        <w:pStyle w:val="Bibliography"/>
      </w:pPr>
      <w:r>
        <w:t xml:space="preserve">Foden, J., Brazier, D., 2007. Angiosperms (seagrass) within the EU water framework directive: A UK perspective. Marine Pollution Bulletin 55, 181–195.</w:t>
      </w:r>
    </w:p>
    <w:bookmarkEnd w:id="272"/>
    <w:bookmarkStart w:id="273"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273"/>
    <w:bookmarkStart w:id="275" w:name="ref-R-rsample"/>
    <w:p>
      <w:pPr>
        <w:pStyle w:val="Bibliography"/>
      </w:pPr>
      <w:r>
        <w:t xml:space="preserve">Frick, H., Chow, F., Kuhn, M., Mahoney, M., Silge, J., Wickham, H., 2024.</w:t>
      </w:r>
      <w:r>
        <w:t xml:space="preserve"> </w:t>
      </w:r>
      <w:hyperlink r:id="rId274">
        <w:r>
          <w:rPr>
            <w:rStyle w:val="Hyperlink"/>
          </w:rPr>
          <w:t xml:space="preserve">Rsample: General resampling infrastructure</w:t>
        </w:r>
      </w:hyperlink>
      <w:r>
        <w:t xml:space="preserve">.</w:t>
      </w:r>
    </w:p>
    <w:bookmarkEnd w:id="275"/>
    <w:bookmarkStart w:id="276" w:name="ref-fyfe2003spatial"/>
    <w:p>
      <w:pPr>
        <w:pStyle w:val="Bibliography"/>
      </w:pPr>
      <w:r>
        <w:t xml:space="preserve">Fyfe, S., 2003. Spatial and temporal variation in spectral reflectance: Are seagrass species spectrally distinct? Limnology and Oceanography 48, 464–479.</w:t>
      </w:r>
    </w:p>
    <w:bookmarkEnd w:id="276"/>
    <w:bookmarkStart w:id="278"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277">
        <w:r>
          <w:rPr>
            <w:rStyle w:val="Hyperlink"/>
          </w:rPr>
          <w:t xml:space="preserve">https://doi.org/10.4319/lo.2003.48.1_part_2.0464</w:t>
        </w:r>
      </w:hyperlink>
    </w:p>
    <w:bookmarkEnd w:id="278"/>
    <w:bookmarkStart w:id="279" w:name="ref-Gardner2018"/>
    <w:p>
      <w:pPr>
        <w:pStyle w:val="Bibliography"/>
      </w:pPr>
      <w:r>
        <w:t xml:space="preserve">Gardner, R.C., Finlayson, C., 2018a. Global wetland outlook: State of the world’s wetlands and their services to people, in: Ramsar Convention Secretariat. pp. 2020–5.</w:t>
      </w:r>
    </w:p>
    <w:bookmarkEnd w:id="279"/>
    <w:bookmarkStart w:id="280" w:name="ref-gardner2018"/>
    <w:p>
      <w:pPr>
        <w:pStyle w:val="Bibliography"/>
      </w:pPr>
      <w:r>
        <w:t xml:space="preserve">Gardner, R.C., Finlayson, C., 2018b. Global wetland outlook: State of the world’s wetlands and their services to people. Stetson Law.</w:t>
      </w:r>
    </w:p>
    <w:bookmarkEnd w:id="280"/>
    <w:bookmarkStart w:id="282"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281">
        <w:r>
          <w:rPr>
            <w:rStyle w:val="Hyperlink"/>
          </w:rPr>
          <w:t xml:space="preserve">https://doi.org/10.1016/j.ecss.2021.107320</w:t>
        </w:r>
      </w:hyperlink>
    </w:p>
    <w:bookmarkEnd w:id="282"/>
    <w:bookmarkStart w:id="283"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283"/>
    <w:bookmarkStart w:id="284" w:name="ref-Green2021"/>
    <w:p>
      <w:pPr>
        <w:pStyle w:val="Bibliography"/>
      </w:pPr>
      <w:r>
        <w:t xml:space="preserve">Green, A.E., Unsworth, R.K., Chadwick, M.A., Jones, P.J., 2021. Historical analysis exposes catastrophic seagrass loss for the united kingdom. Frontiers in plant science 261.</w:t>
      </w:r>
    </w:p>
    <w:bookmarkEnd w:id="284"/>
    <w:bookmarkStart w:id="286" w:name="ref-R-vip"/>
    <w:p>
      <w:pPr>
        <w:pStyle w:val="Bibliography"/>
      </w:pPr>
      <w:r>
        <w:t xml:space="preserve">Greenwell, B.M., Boehmke, B., 2023.</w:t>
      </w:r>
      <w:r>
        <w:t xml:space="preserve"> </w:t>
      </w:r>
      <w:hyperlink r:id="rId285">
        <w:r>
          <w:rPr>
            <w:rStyle w:val="Hyperlink"/>
          </w:rPr>
          <w:t xml:space="preserve">Vip: Variable importance plots</w:t>
        </w:r>
      </w:hyperlink>
      <w:r>
        <w:t xml:space="preserve">.</w:t>
      </w:r>
    </w:p>
    <w:bookmarkEnd w:id="286"/>
    <w:bookmarkStart w:id="287" w:name="ref-Guyot1990"/>
    <w:p>
      <w:pPr>
        <w:pStyle w:val="Bibliography"/>
      </w:pPr>
      <w:r>
        <w:t xml:space="preserve">Guyot, G., 1990. Optical properties of vegetation canopies. Optical properties of vegetation canopies. 19–43.</w:t>
      </w:r>
    </w:p>
    <w:bookmarkEnd w:id="287"/>
    <w:bookmarkStart w:id="288"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288"/>
    <w:bookmarkStart w:id="289" w:name="ref-haro2023biointertidal"/>
    <w:p>
      <w:pPr>
        <w:pStyle w:val="Bibliography"/>
      </w:pPr>
      <w:r>
        <w:t xml:space="preserve">Haro, S., Jimenez-Reina, J., Bermejo, R., Morrison, L., 2023. BioIntertidal mapper software: A satellite approach for NDVI-based intertidal habitat mapping. SoftwareX 24, 101520.</w:t>
      </w:r>
    </w:p>
    <w:bookmarkEnd w:id="289"/>
    <w:bookmarkStart w:id="291"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290">
        <w:r>
          <w:rPr>
            <w:rStyle w:val="Hyperlink"/>
          </w:rPr>
          <w:t xml:space="preserve">https://doi.org/10.3390/app8122688</w:t>
        </w:r>
      </w:hyperlink>
    </w:p>
    <w:bookmarkEnd w:id="291"/>
    <w:bookmarkStart w:id="292"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292"/>
    <w:bookmarkStart w:id="294"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293">
        <w:r>
          <w:rPr>
            <w:rStyle w:val="Hyperlink"/>
          </w:rPr>
          <w:t xml:space="preserve">https://doi.org/10.1016/j.rse.2015.05.023</w:t>
        </w:r>
      </w:hyperlink>
    </w:p>
    <w:bookmarkEnd w:id="294"/>
    <w:bookmarkStart w:id="295"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295"/>
    <w:bookmarkStart w:id="297"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296">
        <w:r>
          <w:rPr>
            <w:rStyle w:val="Hyperlink"/>
          </w:rPr>
          <w:t xml:space="preserve">https://doi.org/10.1016/j.envpol.2021.117731</w:t>
        </w:r>
      </w:hyperlink>
    </w:p>
    <w:bookmarkEnd w:id="297"/>
    <w:bookmarkStart w:id="298" w:name="ref-howard2018fastai"/>
    <w:p>
      <w:pPr>
        <w:pStyle w:val="Bibliography"/>
      </w:pPr>
      <w:r>
        <w:t xml:space="preserve">Howard, J., others, 2018. Fastai.</w:t>
      </w:r>
    </w:p>
    <w:bookmarkEnd w:id="298"/>
    <w:bookmarkStart w:id="300"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299">
        <w:r>
          <w:rPr>
            <w:rStyle w:val="Hyperlink"/>
          </w:rPr>
          <w:t xml:space="preserve">https://doi.org/10.1016/j.rse.2017.01.037</w:t>
        </w:r>
      </w:hyperlink>
    </w:p>
    <w:bookmarkEnd w:id="300"/>
    <w:bookmarkStart w:id="302" w:name="ref-ign"/>
    <w:p>
      <w:pPr>
        <w:pStyle w:val="Bibliography"/>
      </w:pPr>
      <w:r>
        <w:t xml:space="preserve">IGN, 2024.</w:t>
      </w:r>
      <w:r>
        <w:t xml:space="preserve"> </w:t>
      </w:r>
      <w:hyperlink r:id="rId301">
        <w:r>
          <w:rPr>
            <w:rStyle w:val="Hyperlink"/>
          </w:rPr>
          <w:t xml:space="preserve">Institut national de l’information géographique et forestiere (IGN)</w:t>
        </w:r>
      </w:hyperlink>
      <w:r>
        <w:t xml:space="preserve">.</w:t>
      </w:r>
    </w:p>
    <w:bookmarkEnd w:id="302"/>
    <w:bookmarkStart w:id="30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303"/>
    <w:bookmarkStart w:id="305" w:name="ref-IMO2020GHG"/>
    <w:p>
      <w:pPr>
        <w:pStyle w:val="Bibliography"/>
      </w:pPr>
      <w:r>
        <w:t xml:space="preserve">Jasper Faber, S.Z., Shinichi Hanayama, 2021.</w:t>
      </w:r>
      <w:r>
        <w:t xml:space="preserve"> </w:t>
      </w:r>
      <w:hyperlink r:id="rId304">
        <w:r>
          <w:rPr>
            <w:rStyle w:val="Hyperlink"/>
          </w:rPr>
          <w:t xml:space="preserve">Fourth IMO GHG study 2020: Executive summary</w:t>
        </w:r>
      </w:hyperlink>
      <w:r>
        <w:t xml:space="preserve">. International Maritime Organization (IMO), 4 Albert Embankment, London SE1 7SR.</w:t>
      </w:r>
    </w:p>
    <w:bookmarkEnd w:id="305"/>
    <w:bookmarkStart w:id="306"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306"/>
    <w:bookmarkStart w:id="308"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307">
        <w:r>
          <w:rPr>
            <w:rStyle w:val="Hyperlink"/>
          </w:rPr>
          <w:t xml:space="preserve">https://doi.org/10.1177/0309133309339563</w:t>
        </w:r>
      </w:hyperlink>
    </w:p>
    <w:bookmarkEnd w:id="308"/>
    <w:bookmarkStart w:id="309" w:name="ref-joyce2023"/>
    <w:p>
      <w:pPr>
        <w:pStyle w:val="Bibliography"/>
      </w:pPr>
      <w:r>
        <w:t xml:space="preserve">Joyce, K.E., Fickas, K.C., Kalamandeen, M., 2023. The unique value proposition for using drones to map coastal ecosystems. Cambridge Prisms: Coastal Futures 1, e6.</w:t>
      </w:r>
    </w:p>
    <w:bookmarkEnd w:id="309"/>
    <w:bookmarkStart w:id="310" w:name="ref-Kirk1994"/>
    <w:p>
      <w:pPr>
        <w:pStyle w:val="Bibliography"/>
      </w:pPr>
      <w:r>
        <w:t xml:space="preserve">Kirk, J.T., 1994a. Light and photosynthesis in aquatic ecosystems. Cambridge university press.</w:t>
      </w:r>
    </w:p>
    <w:bookmarkEnd w:id="310"/>
    <w:bookmarkStart w:id="311" w:name="ref-kirk1994light"/>
    <w:p>
      <w:pPr>
        <w:pStyle w:val="Bibliography"/>
      </w:pPr>
      <w:r>
        <w:t xml:space="preserve">Kirk, J.T., 1994b. Light and photosynthesis in aquatic ecosystems. Cambridge university press.</w:t>
      </w:r>
    </w:p>
    <w:bookmarkEnd w:id="311"/>
    <w:bookmarkStart w:id="312" w:name="ref-klemas2012remote"/>
    <w:p>
      <w:pPr>
        <w:pStyle w:val="Bibliography"/>
      </w:pPr>
      <w:r>
        <w:t xml:space="preserve">Klemas, V., 2012. Remote sensing of algal blooms: An overview with case studies. Journal of coastal research 28, 34–43.</w:t>
      </w:r>
    </w:p>
    <w:bookmarkEnd w:id="312"/>
    <w:bookmarkStart w:id="314"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313">
        <w:r>
          <w:rPr>
            <w:rStyle w:val="Hyperlink"/>
          </w:rPr>
          <w:t xml:space="preserve">https://doi.org/10.1063/1.44433</w:t>
        </w:r>
      </w:hyperlink>
    </w:p>
    <w:bookmarkEnd w:id="314"/>
    <w:bookmarkStart w:id="316" w:name="ref-R-yardstick"/>
    <w:p>
      <w:pPr>
        <w:pStyle w:val="Bibliography"/>
      </w:pPr>
      <w:r>
        <w:t xml:space="preserve">Kuhn, M., Vaughan, D., Hvitfeldt, E., 2024.</w:t>
      </w:r>
      <w:r>
        <w:t xml:space="preserve"> </w:t>
      </w:r>
      <w:hyperlink r:id="rId315">
        <w:r>
          <w:rPr>
            <w:rStyle w:val="Hyperlink"/>
          </w:rPr>
          <w:t xml:space="preserve">Yardstick: Tidy characterizations of model performance</w:t>
        </w:r>
      </w:hyperlink>
      <w:r>
        <w:t xml:space="preserve">.</w:t>
      </w:r>
    </w:p>
    <w:bookmarkEnd w:id="316"/>
    <w:bookmarkStart w:id="318" w:name="ref-tidymodels2020"/>
    <w:p>
      <w:pPr>
        <w:pStyle w:val="Bibliography"/>
      </w:pPr>
      <w:r>
        <w:t xml:space="preserve">Kuhn, M., Wickham, H., 2020.</w:t>
      </w:r>
      <w:r>
        <w:t xml:space="preserve"> </w:t>
      </w:r>
      <w:hyperlink r:id="rId317">
        <w:r>
          <w:rPr>
            <w:rStyle w:val="Hyperlink"/>
          </w:rPr>
          <w:t xml:space="preserve">Tidymodels: A collection of packages for modeling and machine learning using tidyverse principles.</w:t>
        </w:r>
      </w:hyperlink>
    </w:p>
    <w:bookmarkEnd w:id="318"/>
    <w:bookmarkStart w:id="320"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19">
        <w:r>
          <w:rPr>
            <w:rStyle w:val="Hyperlink"/>
          </w:rPr>
          <w:t xml:space="preserve">https://doi.org/10.1016/j.ecss.2005.12.004</w:t>
        </w:r>
      </w:hyperlink>
    </w:p>
    <w:bookmarkEnd w:id="320"/>
    <w:bookmarkStart w:id="321"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321"/>
    <w:bookmarkStart w:id="322"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322"/>
    <w:bookmarkStart w:id="323"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323"/>
    <w:bookmarkStart w:id="324"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24"/>
    <w:bookmarkStart w:id="325"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25"/>
    <w:bookmarkStart w:id="326"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26"/>
    <w:bookmarkStart w:id="32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27"/>
    <w:bookmarkStart w:id="32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28"/>
    <w:bookmarkStart w:id="32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29"/>
    <w:bookmarkStart w:id="33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330"/>
    <w:bookmarkStart w:id="331" w:name="ref-louime2017sargassum"/>
    <w:p>
      <w:pPr>
        <w:pStyle w:val="Bibliography"/>
      </w:pPr>
      <w:r>
        <w:t xml:space="preserve">Louime, C., Fortune, J., Gervais, G., 2017. Sargassum invasion of coastal environments: A growing concern. American Journal of Environmental Sciences 13, 58–64.</w:t>
      </w:r>
    </w:p>
    <w:bookmarkEnd w:id="331"/>
    <w:bookmarkStart w:id="33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332"/>
    <w:bookmarkStart w:id="33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333"/>
    <w:bookmarkStart w:id="334"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334"/>
    <w:bookmarkStart w:id="336"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335">
        <w:r>
          <w:rPr>
            <w:rStyle w:val="Hyperlink"/>
          </w:rPr>
          <w:t xml:space="preserve">https://doi.org/10.3390/rs11060704</w:t>
        </w:r>
      </w:hyperlink>
    </w:p>
    <w:bookmarkEnd w:id="336"/>
    <w:bookmarkStart w:id="337"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337"/>
    <w:bookmarkStart w:id="338"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338"/>
    <w:bookmarkStart w:id="339"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339"/>
    <w:bookmarkStart w:id="340"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340"/>
    <w:bookmarkStart w:id="341" w:name="ref-meleder2018microphytobenthos"/>
    <w:p>
      <w:pPr>
        <w:pStyle w:val="Bibliography"/>
      </w:pPr>
      <w:r>
        <w:t xml:space="preserve">Méléder, V., Jesus, B., Barnett, A., Barillé, L., Lavaud, J., 2018. Microphytobenthos primary production estimated by hyperspectral reflectance. PloS one 13, e0197093.</w:t>
      </w:r>
    </w:p>
    <w:bookmarkEnd w:id="341"/>
    <w:bookmarkStart w:id="343"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342">
        <w:r>
          <w:rPr>
            <w:rStyle w:val="Hyperlink"/>
          </w:rPr>
          <w:t xml:space="preserve">https://doi.org/10.1016/j.jphotobiol.2013.10.005</w:t>
        </w:r>
      </w:hyperlink>
    </w:p>
    <w:bookmarkEnd w:id="343"/>
    <w:bookmarkStart w:id="344"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344"/>
    <w:bookmarkStart w:id="345"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345"/>
    <w:bookmarkStart w:id="347"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346">
        <w:r>
          <w:rPr>
            <w:rStyle w:val="Hyperlink"/>
          </w:rPr>
          <w:t xml:space="preserve">https://doi.org/10.1111/GCB.14108</w:t>
        </w:r>
      </w:hyperlink>
    </w:p>
    <w:bookmarkEnd w:id="347"/>
    <w:bookmarkStart w:id="349"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348">
        <w:r>
          <w:rPr>
            <w:rStyle w:val="Hyperlink"/>
          </w:rPr>
          <w:t xml:space="preserve">https://doi.org/10.1038/s41598-021-83597-z</w:t>
        </w:r>
      </w:hyperlink>
    </w:p>
    <w:bookmarkEnd w:id="349"/>
    <w:bookmarkStart w:id="351"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350">
        <w:r>
          <w:rPr>
            <w:rStyle w:val="Hyperlink"/>
          </w:rPr>
          <w:t xml:space="preserve">https://doi.org/10.1017/s0031182002001476</w:t>
        </w:r>
      </w:hyperlink>
    </w:p>
    <w:bookmarkEnd w:id="351"/>
    <w:bookmarkStart w:id="353"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352">
        <w:r>
          <w:rPr>
            <w:rStyle w:val="Hyperlink"/>
          </w:rPr>
          <w:t xml:space="preserve">https://doi.org/10.1002/eap.1682</w:t>
        </w:r>
      </w:hyperlink>
    </w:p>
    <w:bookmarkEnd w:id="353"/>
    <w:bookmarkStart w:id="354"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354"/>
    <w:bookmarkStart w:id="355"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355"/>
    <w:bookmarkStart w:id="356" w:name="ref-murray2019global"/>
    <w:p>
      <w:pPr>
        <w:pStyle w:val="Bibliography"/>
      </w:pPr>
      <w:r>
        <w:t xml:space="preserve">Murray, N.J., Phinn, S.R., DeWitt, M., Ferrari, R., Johnston, R., Lyons, M.B., Clinton, N., Thau, D., Fuller, R.A., 2019. The global distribution and trajectory of tidal flats. Nature 565, 222–225.</w:t>
      </w:r>
    </w:p>
    <w:bookmarkEnd w:id="356"/>
    <w:bookmarkStart w:id="358" w:name="ref-Murray2019"/>
    <w:p>
      <w:pPr>
        <w:pStyle w:val="Bibliography"/>
      </w:pPr>
      <w:r>
        <w:t xml:space="preserve">Murray, Nicholas 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357">
        <w:r>
          <w:rPr>
            <w:rStyle w:val="Hyperlink"/>
          </w:rPr>
          <w:t xml:space="preserve">https://doi.org/10.1038/s41586-018-0805-8</w:t>
        </w:r>
      </w:hyperlink>
    </w:p>
    <w:bookmarkEnd w:id="358"/>
    <w:bookmarkStart w:id="359"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359"/>
    <w:bookmarkStart w:id="360" w:name="ref-nguyen2021"/>
    <w:p>
      <w:pPr>
        <w:pStyle w:val="Bibliography"/>
      </w:pPr>
      <w:r>
        <w:t xml:space="preserve">Nguyen, H.M., Ralph, P.J., Marı́n-Guirao, L., Pernice, M., Procaccini, G., 2021. Seagrasses in an era of ocean warming: A review. Biological Reviews 96, 2009–2030.</w:t>
      </w:r>
    </w:p>
    <w:bookmarkEnd w:id="360"/>
    <w:bookmarkStart w:id="362"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361">
        <w:r>
          <w:rPr>
            <w:rStyle w:val="Hyperlink"/>
          </w:rPr>
          <w:t xml:space="preserve">https://doi.org/10.1016/j.rse.2018.10.032</w:t>
        </w:r>
      </w:hyperlink>
    </w:p>
    <w:bookmarkEnd w:id="362"/>
    <w:bookmarkStart w:id="363"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363"/>
    <w:bookmarkStart w:id="364"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364"/>
    <w:bookmarkStart w:id="365" w:name="ref-oh2017use"/>
    <w:p>
      <w:pPr>
        <w:pStyle w:val="Bibliography"/>
      </w:pPr>
      <w:r>
        <w:t xml:space="preserve">Oh, J., Kim, D., Lee, H., 2017. Use of a drone for mapping and time series image acquisition of tidal zones. Journal of the Korean Institute of Intelligent Systems 27, 119–125.</w:t>
      </w:r>
    </w:p>
    <w:bookmarkEnd w:id="365"/>
    <w:bookmarkStart w:id="367"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366">
        <w:r>
          <w:rPr>
            <w:rStyle w:val="Hyperlink"/>
          </w:rPr>
          <w:t xml:space="preserve">https://doi.org/10.1016/j.ecolind.2020.107184</w:t>
        </w:r>
      </w:hyperlink>
    </w:p>
    <w:bookmarkEnd w:id="367"/>
    <w:bookmarkStart w:id="368" w:name="ref-oiry2021using"/>
    <w:p>
      <w:pPr>
        <w:pStyle w:val="Bibliography"/>
      </w:pPr>
      <w:r>
        <w:t xml:space="preserve">Oiry, S., Barillé, L., 2021a. Using sentinel-2 satellite imagery to develop microphytobenthos-based water quality indices in estuaries. Ecological Indicators 121, 107184.</w:t>
      </w:r>
    </w:p>
    <w:bookmarkEnd w:id="368"/>
    <w:bookmarkStart w:id="370"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369">
        <w:r>
          <w:rPr>
            <w:rStyle w:val="Hyperlink"/>
          </w:rPr>
          <w:t xml:space="preserve">Vegan: Community ecology package</w:t>
        </w:r>
      </w:hyperlink>
      <w:r>
        <w:t xml:space="preserve">.</w:t>
      </w:r>
    </w:p>
    <w:bookmarkEnd w:id="370"/>
    <w:bookmarkStart w:id="372"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371">
        <w:r>
          <w:rPr>
            <w:rStyle w:val="Hyperlink"/>
          </w:rPr>
          <w:t xml:space="preserve">https://doi.org/10.3390/rs12233870</w:t>
        </w:r>
      </w:hyperlink>
    </w:p>
    <w:bookmarkEnd w:id="372"/>
    <w:bookmarkStart w:id="37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373"/>
    <w:bookmarkStart w:id="37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374"/>
    <w:bookmarkStart w:id="376"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375">
        <w:r>
          <w:rPr>
            <w:rStyle w:val="Hyperlink"/>
          </w:rPr>
          <w:t xml:space="preserve">https://doi.org/10.5281/zenodo.3463051</w:t>
        </w:r>
      </w:hyperlink>
    </w:p>
    <w:bookmarkEnd w:id="376"/>
    <w:bookmarkStart w:id="377"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377"/>
    <w:bookmarkStart w:id="378"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378"/>
    <w:bookmarkStart w:id="379"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379"/>
    <w:bookmarkStart w:id="380" w:name="ref-Pereira2013"/>
    <w:p>
      <w:pPr>
        <w:pStyle w:val="Bibliography"/>
      </w:pPr>
      <w:r>
        <w:t xml:space="preserve">Pereira, H.M., Ferrier, S., Walters, M., Geller, G.N., Jongman, R.H., Scholes, R.J., Bruford, M.W., Brummitt, N., Butchart, S.H., Cardoso, A., others, 2013b. Essential biodiversity variables. Science 339, 277–278.</w:t>
      </w:r>
    </w:p>
    <w:bookmarkEnd w:id="380"/>
    <w:bookmarkStart w:id="38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381"/>
    <w:bookmarkStart w:id="382"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382"/>
    <w:bookmarkStart w:id="38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383"/>
    <w:bookmarkStart w:id="385" w:name="ref-R-base"/>
    <w:p>
      <w:pPr>
        <w:pStyle w:val="Bibliography"/>
      </w:pPr>
      <w:r>
        <w:t xml:space="preserve">R Core Team, 2023.</w:t>
      </w:r>
      <w:r>
        <w:t xml:space="preserve"> </w:t>
      </w:r>
      <w:hyperlink r:id="rId384">
        <w:r>
          <w:rPr>
            <w:rStyle w:val="Hyperlink"/>
          </w:rPr>
          <w:t xml:space="preserve">R: A language and environment for statistical computing</w:t>
        </w:r>
      </w:hyperlink>
      <w:r>
        <w:t xml:space="preserve">. R Foundation for Statistical Computing, Vienna, Austria.</w:t>
      </w:r>
    </w:p>
    <w:bookmarkEnd w:id="385"/>
    <w:bookmarkStart w:id="386"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386"/>
    <w:bookmarkStart w:id="387" w:name="ref-rasheed2011long"/>
    <w:p>
      <w:pPr>
        <w:pStyle w:val="Bibliography"/>
      </w:pPr>
      <w:r>
        <w:t xml:space="preserve">Rasheed, M.A., Unsworth, R.K., 2011. Long-term climate-associated dynamics of a tropical seagrass meadow: Implications for the future. Marine Ecology Progress Series 422, 93–103.</w:t>
      </w:r>
    </w:p>
    <w:bookmarkEnd w:id="387"/>
    <w:bookmarkStart w:id="388"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388"/>
    <w:bookmarkStart w:id="389"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389"/>
    <w:bookmarkStart w:id="39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390"/>
    <w:bookmarkStart w:id="39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391">
        <w:r>
          <w:rPr>
            <w:rStyle w:val="Hyperlink"/>
          </w:rPr>
          <w:t xml:space="preserve">https://doi.org/10.3389/fmars.2022.1004012</w:t>
        </w:r>
      </w:hyperlink>
    </w:p>
    <w:bookmarkEnd w:id="392"/>
    <w:bookmarkStart w:id="393" w:name="ref-Roman2021"/>
    <w:p>
      <w:pPr>
        <w:pStyle w:val="Bibliography"/>
      </w:pPr>
      <w:r>
        <w:t xml:space="preserve">Román, A., Tovar-Sánchez, A., Olivé, I., Navarro, G., 2021. Using a UAV-mounted multispectral camera for the monitoring of marine macrophytes. Frontiers in Marine Science 1225.</w:t>
      </w:r>
    </w:p>
    <w:bookmarkEnd w:id="393"/>
    <w:bookmarkStart w:id="394" w:name="ref-rossiter2020uav"/>
    <w:p>
      <w:pPr>
        <w:pStyle w:val="Bibliography"/>
      </w:pPr>
      <w:r>
        <w:t xml:space="preserve">Rossiter, T., Furey, T., McCarthy, T., Stengel, D.B., 2020. UAV-mounted hyperspectral mapping of intertidal macroalgae. Estuarine, Coastal and Shelf Science 242, 106789.</w:t>
      </w:r>
    </w:p>
    <w:bookmarkEnd w:id="394"/>
    <w:bookmarkStart w:id="395" w:name="ref-Sage2020"/>
    <w:p>
      <w:pPr>
        <w:pStyle w:val="Bibliography"/>
      </w:pPr>
      <w:r>
        <w:t xml:space="preserve">Sage, R.F., 2020. Global change biology: A primer. Global Change Biology 26, 3–30.</w:t>
      </w:r>
    </w:p>
    <w:bookmarkEnd w:id="395"/>
    <w:bookmarkStart w:id="396"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396"/>
    <w:bookmarkStart w:id="398"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397">
        <w:r>
          <w:rPr>
            <w:rStyle w:val="Hyperlink"/>
          </w:rPr>
          <w:t xml:space="preserve">https://doi.org/10.1016/j.ecoser.2022.101414</w:t>
        </w:r>
      </w:hyperlink>
    </w:p>
    <w:bookmarkEnd w:id="398"/>
    <w:bookmarkStart w:id="400"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399">
        <w:r>
          <w:rPr>
            <w:rStyle w:val="Hyperlink"/>
          </w:rPr>
          <w:t xml:space="preserve">https://doi.org/10.3389/fevo.2021.767548</w:t>
        </w:r>
      </w:hyperlink>
    </w:p>
    <w:bookmarkEnd w:id="400"/>
    <w:bookmarkStart w:id="401" w:name="ref-Schmidt2003"/>
    <w:p>
      <w:pPr>
        <w:pStyle w:val="Bibliography"/>
      </w:pPr>
      <w:r>
        <w:t xml:space="preserve">Schmidt, K., Skidmore, A., 2003. Spectral discrimination of vegetation types in a coastal wetland. Remote sensing of Environment 85, 92–108.</w:t>
      </w:r>
    </w:p>
    <w:bookmarkEnd w:id="401"/>
    <w:bookmarkStart w:id="402" w:name="ref-schneider2012nih"/>
    <w:p>
      <w:pPr>
        <w:pStyle w:val="Bibliography"/>
      </w:pPr>
      <w:r>
        <w:t xml:space="preserve">Schneider, C.A., Rasband, W.S., Eliceiri, K.W., 2012. NIH image to ImageJ: 25 years of image analysis. Nature methods 9, 671–675.</w:t>
      </w:r>
    </w:p>
    <w:bookmarkEnd w:id="402"/>
    <w:bookmarkStart w:id="404"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403">
        <w:r>
          <w:rPr>
            <w:rStyle w:val="Hyperlink"/>
          </w:rPr>
          <w:t xml:space="preserve">https://doi.org/10.3390/rs13081408</w:t>
        </w:r>
      </w:hyperlink>
    </w:p>
    <w:bookmarkEnd w:id="404"/>
    <w:bookmarkStart w:id="406"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405">
        <w:r>
          <w:rPr>
            <w:rStyle w:val="Hyperlink"/>
          </w:rPr>
          <w:t xml:space="preserve">https://doi.org/10.1016/j.marenvres.2021.105475</w:t>
        </w:r>
      </w:hyperlink>
    </w:p>
    <w:bookmarkEnd w:id="406"/>
    <w:bookmarkStart w:id="40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407"/>
    <w:bookmarkStart w:id="409" w:name="ref-shom"/>
    <w:p>
      <w:pPr>
        <w:pStyle w:val="Bibliography"/>
      </w:pPr>
      <w:r>
        <w:t xml:space="preserve">SHOM, 2024.</w:t>
      </w:r>
      <w:r>
        <w:t xml:space="preserve"> </w:t>
      </w:r>
      <w:hyperlink r:id="rId408">
        <w:r>
          <w:rPr>
            <w:rStyle w:val="Hyperlink"/>
          </w:rPr>
          <w:t xml:space="preserve">Service hydrographique et océanographique de la marine (SHOM)</w:t>
        </w:r>
      </w:hyperlink>
      <w:r>
        <w:t xml:space="preserve">.</w:t>
      </w:r>
    </w:p>
    <w:bookmarkEnd w:id="409"/>
    <w:bookmarkStart w:id="411" w:name="Xbef41143b4d4042e58f11cfc27e216202646012"/>
    <w:p>
      <w:pPr>
        <w:pStyle w:val="Bibliography"/>
      </w:pPr>
      <w:r>
        <w:t xml:space="preserve">SHOM, 2021.</w:t>
      </w:r>
      <w:r>
        <w:t xml:space="preserve"> </w:t>
      </w:r>
      <w:hyperlink r:id="rId410">
        <w:r>
          <w:rPr>
            <w:rStyle w:val="Hyperlink"/>
          </w:rPr>
          <w:t xml:space="preserve">Service hydrographique et océanographique de la marine ; bathymétrie Litto3D® bretagne 2018-2021</w:t>
        </w:r>
      </w:hyperlink>
      <w:r>
        <w:t xml:space="preserve">.</w:t>
      </w:r>
    </w:p>
    <w:bookmarkEnd w:id="411"/>
    <w:bookmarkStart w:id="412"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412"/>
    <w:bookmarkStart w:id="414" w:name="ref-Slaton2001"/>
    <w:p>
      <w:pPr>
        <w:pStyle w:val="Bibliography"/>
      </w:pPr>
      <w:r>
        <w:t xml:space="preserve">Slaton, M.R., Raymond Hunt Jr., E., Smith, W.K., 2001. Estimating near-infrared leaf reflectance from leaf structural characteristics. American Journal of Botany 88, 278–284. https://doi.org/</w:t>
      </w:r>
      <w:hyperlink r:id="rId413">
        <w:r>
          <w:rPr>
            <w:rStyle w:val="Hyperlink"/>
          </w:rPr>
          <w:t xml:space="preserve">https://doi.org/10.2307/2657019</w:t>
        </w:r>
      </w:hyperlink>
    </w:p>
    <w:bookmarkEnd w:id="414"/>
    <w:bookmarkStart w:id="415"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415"/>
    <w:bookmarkStart w:id="416"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416"/>
    <w:bookmarkStart w:id="417"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417"/>
    <w:bookmarkStart w:id="418"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418"/>
    <w:bookmarkStart w:id="41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419"/>
    <w:bookmarkStart w:id="420"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420"/>
    <w:bookmarkStart w:id="422" w:name="ref-Traganos2018"/>
    <w:p>
      <w:pPr>
        <w:pStyle w:val="Bibliography"/>
      </w:pPr>
      <w:r>
        <w:t xml:space="preserve">Traganos, D., Reinartz, P., 2018. Mapping mediterranean seagrasses with sentinel-2 imagery. Marine Pollution Bulletin 134, 197–209.</w:t>
      </w:r>
      <w:r>
        <w:t xml:space="preserve"> </w:t>
      </w:r>
      <w:hyperlink r:id="rId421">
        <w:r>
          <w:rPr>
            <w:rStyle w:val="Hyperlink"/>
          </w:rPr>
          <w:t xml:space="preserve">https://doi.org/10.1016/j.marpolbul.2017.06.075</w:t>
        </w:r>
      </w:hyperlink>
    </w:p>
    <w:bookmarkEnd w:id="422"/>
    <w:bookmarkStart w:id="42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423"/>
    <w:bookmarkStart w:id="424"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424"/>
    <w:bookmarkStart w:id="425" w:name="ref-Unsworth2022"/>
    <w:p>
      <w:pPr>
        <w:pStyle w:val="Bibliography"/>
      </w:pPr>
      <w:r>
        <w:t xml:space="preserve">Unsworth, R.K., Cullen-Unsworth, L.C., Jones, B.L., Lilley, R.J., 2022a. The planetary role of seagrass conservation. Science 377, 609–613.</w:t>
      </w:r>
    </w:p>
    <w:bookmarkEnd w:id="425"/>
    <w:bookmarkStart w:id="426" w:name="ref-unsworth2022"/>
    <w:p>
      <w:pPr>
        <w:pStyle w:val="Bibliography"/>
      </w:pPr>
      <w:r>
        <w:t xml:space="preserve">Unsworth, R.K., Cullen-Unsworth, L.C., Jones, B.L., Lilley, R.J., 2022b. The planetary role of seagrass conservation. Science 377, 609–613.</w:t>
      </w:r>
    </w:p>
    <w:bookmarkEnd w:id="426"/>
    <w:bookmarkStart w:id="428"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427">
        <w:r>
          <w:rPr>
            <w:rStyle w:val="Hyperlink"/>
          </w:rPr>
          <w:t xml:space="preserve">https://doi.org/10.1007/s13280-018-1115-y</w:t>
        </w:r>
      </w:hyperlink>
    </w:p>
    <w:bookmarkEnd w:id="428"/>
    <w:bookmarkStart w:id="430"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429">
        <w:r>
          <w:rPr>
            <w:rStyle w:val="Hyperlink"/>
          </w:rPr>
          <w:t xml:space="preserve">https://doi.org/10.1111/conl.12566</w:t>
        </w:r>
      </w:hyperlink>
    </w:p>
    <w:bookmarkEnd w:id="430"/>
    <w:bookmarkStart w:id="431"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431"/>
    <w:bookmarkStart w:id="433"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432">
        <w:r>
          <w:rPr>
            <w:rStyle w:val="Hyperlink"/>
          </w:rPr>
          <w:t xml:space="preserve">https://doi.org/10.1641/0006-3568(2004)054[0523:UISTSE]2.0.CO;2</w:t>
        </w:r>
      </w:hyperlink>
    </w:p>
    <w:bookmarkEnd w:id="433"/>
    <w:bookmarkStart w:id="435"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434">
        <w:r>
          <w:rPr>
            <w:rStyle w:val="Hyperlink"/>
          </w:rPr>
          <w:t xml:space="preserve">https://doi.org/10.1127/0340-269X/2003/0033-0187</w:t>
        </w:r>
      </w:hyperlink>
    </w:p>
    <w:bookmarkEnd w:id="435"/>
    <w:bookmarkStart w:id="436"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436"/>
    <w:bookmarkStart w:id="437"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437"/>
    <w:bookmarkStart w:id="43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438"/>
    <w:bookmarkStart w:id="439"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439"/>
    <w:bookmarkStart w:id="440" w:name="ref-wang2022"/>
    <w:p>
      <w:pPr>
        <w:pStyle w:val="Bibliography"/>
      </w:pPr>
      <w:r>
        <w:t xml:space="preserve">Wang, Z., Fang, Z., Liang, J., Song, X., 2022. Assessment of global habitat suitability and risk of ocean green tides. Harmful Algae 119, 102324.</w:t>
      </w:r>
    </w:p>
    <w:bookmarkEnd w:id="440"/>
    <w:bookmarkStart w:id="442" w:name="ref-WEI2015399"/>
    <w:p>
      <w:pPr>
        <w:pStyle w:val="Bibliography"/>
      </w:pPr>
      <w:r>
        <w:t xml:space="preserve">Wei, P., Lu, Z., Song, J., 2015. Variable importance analysis: A comprehensive review. Reliability Engineering and System Safety 142, 399–432. https://doi.org/</w:t>
      </w:r>
      <w:hyperlink r:id="rId441">
        <w:r>
          <w:rPr>
            <w:rStyle w:val="Hyperlink"/>
          </w:rPr>
          <w:t xml:space="preserve">https://doi.org/10.1016/j.ress.2015.05.018</w:t>
        </w:r>
      </w:hyperlink>
    </w:p>
    <w:bookmarkEnd w:id="442"/>
    <w:bookmarkStart w:id="444" w:name="ref-R-ranger"/>
    <w:p>
      <w:pPr>
        <w:pStyle w:val="Bibliography"/>
      </w:pPr>
      <w:r>
        <w:t xml:space="preserve">Wright, M.N., 2024.</w:t>
      </w:r>
      <w:r>
        <w:t xml:space="preserve"> </w:t>
      </w:r>
      <w:hyperlink r:id="rId443">
        <w:r>
          <w:rPr>
            <w:rStyle w:val="Hyperlink"/>
          </w:rPr>
          <w:t xml:space="preserve">Ranger: A fast implementation of random forests</w:t>
        </w:r>
      </w:hyperlink>
      <w:r>
        <w:t xml:space="preserve">.</w:t>
      </w:r>
    </w:p>
    <w:bookmarkEnd w:id="444"/>
    <w:bookmarkStart w:id="44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445"/>
    <w:bookmarkStart w:id="447"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446">
        <w:r>
          <w:rPr>
            <w:rStyle w:val="Hyperlink"/>
          </w:rPr>
          <w:t xml:space="preserve">https://doi.org/10.1155/2017/1353691</w:t>
        </w:r>
      </w:hyperlink>
    </w:p>
    <w:bookmarkEnd w:id="447"/>
    <w:bookmarkStart w:id="44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448"/>
    <w:bookmarkStart w:id="449" w:name="ref-zhu2021deep"/>
    <w:p>
      <w:pPr>
        <w:pStyle w:val="Bibliography"/>
      </w:pPr>
      <w:r>
        <w:t xml:space="preserve">Zhu, Y., Huang, R., Wu, Z., Song, S., Cheng, L., Zhu, R., 2021. Deep learning-based predictive identification of neural stem cell differentiation. Nature communications 12, 2614.</w:t>
      </w:r>
    </w:p>
    <w:bookmarkEnd w:id="449"/>
    <w:bookmarkStart w:id="450"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450"/>
    <w:bookmarkStart w:id="452"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451">
        <w:r>
          <w:rPr>
            <w:rStyle w:val="Hyperlink"/>
          </w:rPr>
          <w:t xml:space="preserve">https://doi.org/10.1016/j.ecolind.2021.108033</w:t>
        </w:r>
      </w:hyperlink>
    </w:p>
    <w:bookmarkEnd w:id="452"/>
    <w:bookmarkStart w:id="45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453"/>
    <w:bookmarkStart w:id="454"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454"/>
    <w:bookmarkStart w:id="456"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455">
        <w:r>
          <w:rPr>
            <w:rStyle w:val="Hyperlink"/>
          </w:rPr>
          <w:t xml:space="preserve">https://doi.org/10.1016/j.rse.2020.112020</w:t>
        </w:r>
      </w:hyperlink>
    </w:p>
    <w:bookmarkEnd w:id="456"/>
    <w:bookmarkStart w:id="457"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455">
        <w:r>
          <w:rPr>
            <w:rStyle w:val="Hyperlink"/>
          </w:rPr>
          <w:t xml:space="preserve">https://doi.org/10.1016/j.rse.2020.112020</w:t>
        </w:r>
      </w:hyperlink>
    </w:p>
    <w:bookmarkEnd w:id="457"/>
    <w:bookmarkEnd w:id="458"/>
    <w:bookmarkEnd w:id="45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image" Id="rId53" Target="media/rId53.jpg" /><Relationship Type="http://schemas.openxmlformats.org/officeDocument/2006/relationships/image" Id="rId62" Target="media/rId62.jpg" /><Relationship Type="http://schemas.openxmlformats.org/officeDocument/2006/relationships/image" Id="rId67" Target="media/rId67.jpg" /><Relationship Type="http://schemas.openxmlformats.org/officeDocument/2006/relationships/image" Id="rId72" Target="media/rId72.jpg" /><Relationship Type="http://schemas.openxmlformats.org/officeDocument/2006/relationships/image" Id="rId80" Target="media/rId80.jpg" /><Relationship Type="http://schemas.openxmlformats.org/officeDocument/2006/relationships/image" Id="rId84" Target="media/rId84.jpg" /><Relationship Type="http://schemas.openxmlformats.org/officeDocument/2006/relationships/image" Id="rId89" Target="media/rId89.jp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17" Target="media/rId117.png" /><Relationship Type="http://schemas.openxmlformats.org/officeDocument/2006/relationships/image" Id="rId124" Target="media/rId124.png" /><Relationship Type="http://schemas.openxmlformats.org/officeDocument/2006/relationships/image" Id="rId142" Target="media/rId142.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12" Target="media/rId112.png" /><Relationship Type="http://schemas.openxmlformats.org/officeDocument/2006/relationships/image" Id="rId128" Target="media/rId128.png" /><Relationship Type="http://schemas.openxmlformats.org/officeDocument/2006/relationships/hyperlink" Id="rId206" Target="http://prisma.asi.it/missionselect/docs/PRISMA%20Product%20Specifications_Is2_3.pdf" TargetMode="External" /><Relationship Type="http://schemas.openxmlformats.org/officeDocument/2006/relationships/hyperlink" Id="rId28" Target="https://blue-economy-observatory.ec.europa.eu/eu-blue-economy-sectors/coastal-tourism_en" TargetMode="External" /><Relationship Type="http://schemas.openxmlformats.org/officeDocument/2006/relationships/hyperlink" Id="rId352"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35" Target="https://doi.org/10.1007/s00227-012-1987-5" TargetMode="External" /><Relationship Type="http://schemas.openxmlformats.org/officeDocument/2006/relationships/hyperlink" Id="rId219" Target="https://doi.org/10.1007/s003380050055" TargetMode="External" /><Relationship Type="http://schemas.openxmlformats.org/officeDocument/2006/relationships/hyperlink" Id="rId221" Target="https://doi.org/10.1007/s12237-021-00949-8" TargetMode="External" /><Relationship Type="http://schemas.openxmlformats.org/officeDocument/2006/relationships/hyperlink" Id="rId427" Target="https://doi.org/10.1007/s13280-018-1115-y" TargetMode="External" /><Relationship Type="http://schemas.openxmlformats.org/officeDocument/2006/relationships/hyperlink" Id="rId238" Target="https://doi.org/10.1016/j.algal.2017.04.021" TargetMode="External" /><Relationship Type="http://schemas.openxmlformats.org/officeDocument/2006/relationships/hyperlink" Id="rId216" Target="https://doi.org/10.1016/j.aquabot.2009.11.006" TargetMode="External" /><Relationship Type="http://schemas.openxmlformats.org/officeDocument/2006/relationships/hyperlink" Id="rId233" Target="https://doi.org/10.1016/j.csr.2013.01.010" TargetMode="External" /><Relationship Type="http://schemas.openxmlformats.org/officeDocument/2006/relationships/hyperlink" Id="rId246" Target="https://doi.org/10.1016/j.ecolind.2020.107018" TargetMode="External" /><Relationship Type="http://schemas.openxmlformats.org/officeDocument/2006/relationships/hyperlink" Id="rId366" Target="https://doi.org/10.1016/j.ecolind.2020.107184" TargetMode="External" /><Relationship Type="http://schemas.openxmlformats.org/officeDocument/2006/relationships/hyperlink" Id="rId451" Target="https://doi.org/10.1016/j.ecolind.2021.108033" TargetMode="External" /><Relationship Type="http://schemas.openxmlformats.org/officeDocument/2006/relationships/hyperlink" Id="rId397" Target="https://doi.org/10.1016/j.ecoser.2022.101414" TargetMode="External" /><Relationship Type="http://schemas.openxmlformats.org/officeDocument/2006/relationships/hyperlink" Id="rId319" Target="https://doi.org/10.1016/j.ecss.2005.12.004" TargetMode="External" /><Relationship Type="http://schemas.openxmlformats.org/officeDocument/2006/relationships/hyperlink" Id="rId281" Target="https://doi.org/10.1016/j.ecss.2021.107320" TargetMode="External" /><Relationship Type="http://schemas.openxmlformats.org/officeDocument/2006/relationships/hyperlink" Id="rId296" Target="https://doi.org/10.1016/j.envpol.2021.117731" TargetMode="External" /><Relationship Type="http://schemas.openxmlformats.org/officeDocument/2006/relationships/hyperlink" Id="rId211" Target="https://doi.org/10.1016/j.jembe.2013.04.012" TargetMode="External" /><Relationship Type="http://schemas.openxmlformats.org/officeDocument/2006/relationships/hyperlink" Id="rId342" Target="https://doi.org/10.1016/j.jphotobiol.2013.10.005" TargetMode="External" /><Relationship Type="http://schemas.openxmlformats.org/officeDocument/2006/relationships/hyperlink" Id="rId405" Target="https://doi.org/10.1016/j.marenvres.2021.105475" TargetMode="External" /><Relationship Type="http://schemas.openxmlformats.org/officeDocument/2006/relationships/hyperlink" Id="rId421" Target="https://doi.org/10.1016/j.marpolbul.2017.06.075" TargetMode="External" /><Relationship Type="http://schemas.openxmlformats.org/officeDocument/2006/relationships/hyperlink" Id="rId441" Target="https://doi.org/10.1016/j.ress.2015.05.018" TargetMode="External" /><Relationship Type="http://schemas.openxmlformats.org/officeDocument/2006/relationships/hyperlink" Id="rId214" Target="https://doi.org/10.1016/j.rse.2010.12.008" TargetMode="External" /><Relationship Type="http://schemas.openxmlformats.org/officeDocument/2006/relationships/hyperlink" Id="rId260" Target="https://doi.org/10.1016/j.rse.2015.01.027" TargetMode="External" /><Relationship Type="http://schemas.openxmlformats.org/officeDocument/2006/relationships/hyperlink" Id="rId293" Target="https://doi.org/10.1016/j.rse.2015.05.023" TargetMode="External" /><Relationship Type="http://schemas.openxmlformats.org/officeDocument/2006/relationships/hyperlink" Id="rId299" Target="https://doi.org/10.1016/j.rse.2017.01.037" TargetMode="External" /><Relationship Type="http://schemas.openxmlformats.org/officeDocument/2006/relationships/hyperlink" Id="rId361" Target="https://doi.org/10.1016/j.rse.2018.10.032" TargetMode="External" /><Relationship Type="http://schemas.openxmlformats.org/officeDocument/2006/relationships/hyperlink" Id="rId455" Target="https://doi.org/10.1016/j.rse.2020.112020" TargetMode="External" /><Relationship Type="http://schemas.openxmlformats.org/officeDocument/2006/relationships/hyperlink" Id="rId251" Target="https://doi.org/10.1016/j.rse.2023.113554" TargetMode="External" /><Relationship Type="http://schemas.openxmlformats.org/officeDocument/2006/relationships/hyperlink" Id="rId350" Target="https://doi.org/10.1017/s0031182002001476" TargetMode="External" /><Relationship Type="http://schemas.openxmlformats.org/officeDocument/2006/relationships/hyperlink" Id="rId357" Target="https://doi.org/10.1038/s41586-018-0805-8" TargetMode="External" /><Relationship Type="http://schemas.openxmlformats.org/officeDocument/2006/relationships/hyperlink" Id="rId348" Target="https://doi.org/10.1038/s41598-021-83597-z" TargetMode="External" /><Relationship Type="http://schemas.openxmlformats.org/officeDocument/2006/relationships/hyperlink" Id="rId313" Target="https://doi.org/10.1063/1.44433" TargetMode="External" /><Relationship Type="http://schemas.openxmlformats.org/officeDocument/2006/relationships/hyperlink" Id="rId346" Target="https://doi.org/10.1111/GCB.14108" TargetMode="External" /><Relationship Type="http://schemas.openxmlformats.org/officeDocument/2006/relationships/hyperlink" Id="rId429" Target="https://doi.org/10.1111/conl.12566" TargetMode="External" /><Relationship Type="http://schemas.openxmlformats.org/officeDocument/2006/relationships/hyperlink" Id="rId434" Target="https://doi.org/10.1127/0340-269X/2003/0033-0187" TargetMode="External" /><Relationship Type="http://schemas.openxmlformats.org/officeDocument/2006/relationships/hyperlink" Id="rId229" Target="https://doi.org/10.1139/cjfas-2016-0137" TargetMode="External" /><Relationship Type="http://schemas.openxmlformats.org/officeDocument/2006/relationships/hyperlink" Id="rId446" Target="https://doi.org/10.1155/2017/1353691" TargetMode="External" /><Relationship Type="http://schemas.openxmlformats.org/officeDocument/2006/relationships/hyperlink" Id="rId307" Target="https://doi.org/10.1177/0309133309339563" TargetMode="External" /><Relationship Type="http://schemas.openxmlformats.org/officeDocument/2006/relationships/hyperlink" Id="rId256" Target="https://doi.org/10.15468/n4ak6x" TargetMode="External" /><Relationship Type="http://schemas.openxmlformats.org/officeDocument/2006/relationships/hyperlink" Id="rId432" Target="https://doi.org/10.1641/0006-3568(2004)054[0523:UISTSE]2.0.CO;2" TargetMode="External" /><Relationship Type="http://schemas.openxmlformats.org/officeDocument/2006/relationships/hyperlink" Id="rId413" Target="https://doi.org/10.2307/2657019" TargetMode="External" /><Relationship Type="http://schemas.openxmlformats.org/officeDocument/2006/relationships/hyperlink" Id="rId399" Target="https://doi.org/10.3389/fevo.2021.767548" TargetMode="External" /><Relationship Type="http://schemas.openxmlformats.org/officeDocument/2006/relationships/hyperlink" Id="rId391" Target="https://doi.org/10.3389/fmars.2022.1004012" TargetMode="External" /><Relationship Type="http://schemas.openxmlformats.org/officeDocument/2006/relationships/hyperlink" Id="rId226" Target="https://doi.org/10.3390/RS14020307" TargetMode="External" /><Relationship Type="http://schemas.openxmlformats.org/officeDocument/2006/relationships/hyperlink" Id="rId290" Target="https://doi.org/10.3390/app8122688" TargetMode="External" /><Relationship Type="http://schemas.openxmlformats.org/officeDocument/2006/relationships/hyperlink" Id="rId335" Target="https://doi.org/10.3390/rs11060704" TargetMode="External" /><Relationship Type="http://schemas.openxmlformats.org/officeDocument/2006/relationships/hyperlink" Id="rId371" Target="https://doi.org/10.3390/rs12233870" TargetMode="External" /><Relationship Type="http://schemas.openxmlformats.org/officeDocument/2006/relationships/hyperlink" Id="rId403" Target="https://doi.org/10.3390/rs13081408" TargetMode="External" /><Relationship Type="http://schemas.openxmlformats.org/officeDocument/2006/relationships/hyperlink" Id="rId263" Target="https://doi.org/10.3390/rs14020346" TargetMode="External" /><Relationship Type="http://schemas.openxmlformats.org/officeDocument/2006/relationships/hyperlink" Id="rId277" Target="https://doi.org/10.4319/lo.2003.48.1_part_2.0464" TargetMode="External" /><Relationship Type="http://schemas.openxmlformats.org/officeDocument/2006/relationships/hyperlink" Id="rId375" Target="https://doi.org/10.5281/zenodo.3463051" TargetMode="External" /><Relationship Type="http://schemas.openxmlformats.org/officeDocument/2006/relationships/hyperlink" Id="rId285" Target="https://github.com/koalaverse/vip/" TargetMode="External" /><Relationship Type="http://schemas.openxmlformats.org/officeDocument/2006/relationships/hyperlink" Id="rId315" Target="https://github.com/tidymodels/yardstick" TargetMode="External" /><Relationship Type="http://schemas.openxmlformats.org/officeDocument/2006/relationships/hyperlink" Id="rId369" Target="https://github.com/vegandevs/vegan" TargetMode="External" /><Relationship Type="http://schemas.openxmlformats.org/officeDocument/2006/relationships/hyperlink" Id="rId443" Target="https://imbs-hl.github.io/ranger/" TargetMode="External" /><Relationship Type="http://schemas.openxmlformats.org/officeDocument/2006/relationships/hyperlink" Id="rId224" Target="https://ipbes.net/global-assessment%0Ahttps://ipbes.net/global-assessment-report-biodiversity-ecosystem-services" TargetMode="External" /><Relationship Type="http://schemas.openxmlformats.org/officeDocument/2006/relationships/hyperlink" Id="rId30" Target="https://maritime-union.org/how-much-trade-is-maritime/?utm_source=chatgpt.com" TargetMode="External" /><Relationship Type="http://schemas.openxmlformats.org/officeDocument/2006/relationships/hyperlink" Id="rId274" Target="https://rsample.tidymodels.org" TargetMode="External" /><Relationship Type="http://schemas.openxmlformats.org/officeDocument/2006/relationships/hyperlink" Id="rId410" Target="https://services.data.shom.fr/geonetwork/srv/fre/catalog.search#/metadata/BATHYMETRIE_LITTO3D_BZH_2018_2021.xml" TargetMode="External" /><Relationship Type="http://schemas.openxmlformats.org/officeDocument/2006/relationships/hyperlink" Id="rId384" Target="https://www.R-project.org/" TargetMode="External" /><Relationship Type="http://schemas.openxmlformats.org/officeDocument/2006/relationships/hyperlink" Id="rId203" Target="https://www.agisoft.com/" TargetMode="External" /><Relationship Type="http://schemas.openxmlformats.org/officeDocument/2006/relationships/hyperlink" Id="rId301" Target="https://www.ign.fr" TargetMode="External" /><Relationship Type="http://schemas.openxmlformats.org/officeDocument/2006/relationships/hyperlink" Id="rId304" Target="https://www.imo.org" TargetMode="External" /><Relationship Type="http://schemas.openxmlformats.org/officeDocument/2006/relationships/hyperlink" Id="rId29" Target="https://www.reuters.com/business/environment/aquafarming-becomes-main-global-source-fish-un-food-agency-says-2024-06-07" TargetMode="External" /><Relationship Type="http://schemas.openxmlformats.org/officeDocument/2006/relationships/hyperlink" Id="rId408" Target="https://www.shom.fr" TargetMode="External" /><Relationship Type="http://schemas.openxmlformats.org/officeDocument/2006/relationships/hyperlink" Id="rId317"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06" Target="http://prisma.asi.it/missionselect/docs/PRISMA%20Product%20Specifications_Is2_3.pdf" TargetMode="External" /><Relationship Type="http://schemas.openxmlformats.org/officeDocument/2006/relationships/hyperlink" Id="rId28" Target="https://blue-economy-observatory.ec.europa.eu/eu-blue-economy-sectors/coastal-tourism_en" TargetMode="External" /><Relationship Type="http://schemas.openxmlformats.org/officeDocument/2006/relationships/hyperlink" Id="rId352"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35" Target="https://doi.org/10.1007/s00227-012-1987-5" TargetMode="External" /><Relationship Type="http://schemas.openxmlformats.org/officeDocument/2006/relationships/hyperlink" Id="rId219" Target="https://doi.org/10.1007/s003380050055" TargetMode="External" /><Relationship Type="http://schemas.openxmlformats.org/officeDocument/2006/relationships/hyperlink" Id="rId221" Target="https://doi.org/10.1007/s12237-021-00949-8" TargetMode="External" /><Relationship Type="http://schemas.openxmlformats.org/officeDocument/2006/relationships/hyperlink" Id="rId427" Target="https://doi.org/10.1007/s13280-018-1115-y" TargetMode="External" /><Relationship Type="http://schemas.openxmlformats.org/officeDocument/2006/relationships/hyperlink" Id="rId238" Target="https://doi.org/10.1016/j.algal.2017.04.021" TargetMode="External" /><Relationship Type="http://schemas.openxmlformats.org/officeDocument/2006/relationships/hyperlink" Id="rId216" Target="https://doi.org/10.1016/j.aquabot.2009.11.006" TargetMode="External" /><Relationship Type="http://schemas.openxmlformats.org/officeDocument/2006/relationships/hyperlink" Id="rId233" Target="https://doi.org/10.1016/j.csr.2013.01.010" TargetMode="External" /><Relationship Type="http://schemas.openxmlformats.org/officeDocument/2006/relationships/hyperlink" Id="rId246" Target="https://doi.org/10.1016/j.ecolind.2020.107018" TargetMode="External" /><Relationship Type="http://schemas.openxmlformats.org/officeDocument/2006/relationships/hyperlink" Id="rId366" Target="https://doi.org/10.1016/j.ecolind.2020.107184" TargetMode="External" /><Relationship Type="http://schemas.openxmlformats.org/officeDocument/2006/relationships/hyperlink" Id="rId451" Target="https://doi.org/10.1016/j.ecolind.2021.108033" TargetMode="External" /><Relationship Type="http://schemas.openxmlformats.org/officeDocument/2006/relationships/hyperlink" Id="rId397" Target="https://doi.org/10.1016/j.ecoser.2022.101414" TargetMode="External" /><Relationship Type="http://schemas.openxmlformats.org/officeDocument/2006/relationships/hyperlink" Id="rId319" Target="https://doi.org/10.1016/j.ecss.2005.12.004" TargetMode="External" /><Relationship Type="http://schemas.openxmlformats.org/officeDocument/2006/relationships/hyperlink" Id="rId281" Target="https://doi.org/10.1016/j.ecss.2021.107320" TargetMode="External" /><Relationship Type="http://schemas.openxmlformats.org/officeDocument/2006/relationships/hyperlink" Id="rId296" Target="https://doi.org/10.1016/j.envpol.2021.117731" TargetMode="External" /><Relationship Type="http://schemas.openxmlformats.org/officeDocument/2006/relationships/hyperlink" Id="rId211" Target="https://doi.org/10.1016/j.jembe.2013.04.012" TargetMode="External" /><Relationship Type="http://schemas.openxmlformats.org/officeDocument/2006/relationships/hyperlink" Id="rId342" Target="https://doi.org/10.1016/j.jphotobiol.2013.10.005" TargetMode="External" /><Relationship Type="http://schemas.openxmlformats.org/officeDocument/2006/relationships/hyperlink" Id="rId405" Target="https://doi.org/10.1016/j.marenvres.2021.105475" TargetMode="External" /><Relationship Type="http://schemas.openxmlformats.org/officeDocument/2006/relationships/hyperlink" Id="rId421" Target="https://doi.org/10.1016/j.marpolbul.2017.06.075" TargetMode="External" /><Relationship Type="http://schemas.openxmlformats.org/officeDocument/2006/relationships/hyperlink" Id="rId441" Target="https://doi.org/10.1016/j.ress.2015.05.018" TargetMode="External" /><Relationship Type="http://schemas.openxmlformats.org/officeDocument/2006/relationships/hyperlink" Id="rId214" Target="https://doi.org/10.1016/j.rse.2010.12.008" TargetMode="External" /><Relationship Type="http://schemas.openxmlformats.org/officeDocument/2006/relationships/hyperlink" Id="rId260" Target="https://doi.org/10.1016/j.rse.2015.01.027" TargetMode="External" /><Relationship Type="http://schemas.openxmlformats.org/officeDocument/2006/relationships/hyperlink" Id="rId293" Target="https://doi.org/10.1016/j.rse.2015.05.023" TargetMode="External" /><Relationship Type="http://schemas.openxmlformats.org/officeDocument/2006/relationships/hyperlink" Id="rId299" Target="https://doi.org/10.1016/j.rse.2017.01.037" TargetMode="External" /><Relationship Type="http://schemas.openxmlformats.org/officeDocument/2006/relationships/hyperlink" Id="rId361" Target="https://doi.org/10.1016/j.rse.2018.10.032" TargetMode="External" /><Relationship Type="http://schemas.openxmlformats.org/officeDocument/2006/relationships/hyperlink" Id="rId455" Target="https://doi.org/10.1016/j.rse.2020.112020" TargetMode="External" /><Relationship Type="http://schemas.openxmlformats.org/officeDocument/2006/relationships/hyperlink" Id="rId251" Target="https://doi.org/10.1016/j.rse.2023.113554" TargetMode="External" /><Relationship Type="http://schemas.openxmlformats.org/officeDocument/2006/relationships/hyperlink" Id="rId350" Target="https://doi.org/10.1017/s0031182002001476" TargetMode="External" /><Relationship Type="http://schemas.openxmlformats.org/officeDocument/2006/relationships/hyperlink" Id="rId357" Target="https://doi.org/10.1038/s41586-018-0805-8" TargetMode="External" /><Relationship Type="http://schemas.openxmlformats.org/officeDocument/2006/relationships/hyperlink" Id="rId348" Target="https://doi.org/10.1038/s41598-021-83597-z" TargetMode="External" /><Relationship Type="http://schemas.openxmlformats.org/officeDocument/2006/relationships/hyperlink" Id="rId313" Target="https://doi.org/10.1063/1.44433" TargetMode="External" /><Relationship Type="http://schemas.openxmlformats.org/officeDocument/2006/relationships/hyperlink" Id="rId346" Target="https://doi.org/10.1111/GCB.14108" TargetMode="External" /><Relationship Type="http://schemas.openxmlformats.org/officeDocument/2006/relationships/hyperlink" Id="rId429" Target="https://doi.org/10.1111/conl.12566" TargetMode="External" /><Relationship Type="http://schemas.openxmlformats.org/officeDocument/2006/relationships/hyperlink" Id="rId434" Target="https://doi.org/10.1127/0340-269X/2003/0033-0187" TargetMode="External" /><Relationship Type="http://schemas.openxmlformats.org/officeDocument/2006/relationships/hyperlink" Id="rId229" Target="https://doi.org/10.1139/cjfas-2016-0137" TargetMode="External" /><Relationship Type="http://schemas.openxmlformats.org/officeDocument/2006/relationships/hyperlink" Id="rId446" Target="https://doi.org/10.1155/2017/1353691" TargetMode="External" /><Relationship Type="http://schemas.openxmlformats.org/officeDocument/2006/relationships/hyperlink" Id="rId307" Target="https://doi.org/10.1177/0309133309339563" TargetMode="External" /><Relationship Type="http://schemas.openxmlformats.org/officeDocument/2006/relationships/hyperlink" Id="rId256" Target="https://doi.org/10.15468/n4ak6x" TargetMode="External" /><Relationship Type="http://schemas.openxmlformats.org/officeDocument/2006/relationships/hyperlink" Id="rId432" Target="https://doi.org/10.1641/0006-3568(2004)054[0523:UISTSE]2.0.CO;2" TargetMode="External" /><Relationship Type="http://schemas.openxmlformats.org/officeDocument/2006/relationships/hyperlink" Id="rId413" Target="https://doi.org/10.2307/2657019" TargetMode="External" /><Relationship Type="http://schemas.openxmlformats.org/officeDocument/2006/relationships/hyperlink" Id="rId399" Target="https://doi.org/10.3389/fevo.2021.767548" TargetMode="External" /><Relationship Type="http://schemas.openxmlformats.org/officeDocument/2006/relationships/hyperlink" Id="rId391" Target="https://doi.org/10.3389/fmars.2022.1004012" TargetMode="External" /><Relationship Type="http://schemas.openxmlformats.org/officeDocument/2006/relationships/hyperlink" Id="rId226" Target="https://doi.org/10.3390/RS14020307" TargetMode="External" /><Relationship Type="http://schemas.openxmlformats.org/officeDocument/2006/relationships/hyperlink" Id="rId290" Target="https://doi.org/10.3390/app8122688" TargetMode="External" /><Relationship Type="http://schemas.openxmlformats.org/officeDocument/2006/relationships/hyperlink" Id="rId335" Target="https://doi.org/10.3390/rs11060704" TargetMode="External" /><Relationship Type="http://schemas.openxmlformats.org/officeDocument/2006/relationships/hyperlink" Id="rId371" Target="https://doi.org/10.3390/rs12233870" TargetMode="External" /><Relationship Type="http://schemas.openxmlformats.org/officeDocument/2006/relationships/hyperlink" Id="rId403" Target="https://doi.org/10.3390/rs13081408" TargetMode="External" /><Relationship Type="http://schemas.openxmlformats.org/officeDocument/2006/relationships/hyperlink" Id="rId263" Target="https://doi.org/10.3390/rs14020346" TargetMode="External" /><Relationship Type="http://schemas.openxmlformats.org/officeDocument/2006/relationships/hyperlink" Id="rId277" Target="https://doi.org/10.4319/lo.2003.48.1_part_2.0464" TargetMode="External" /><Relationship Type="http://schemas.openxmlformats.org/officeDocument/2006/relationships/hyperlink" Id="rId375" Target="https://doi.org/10.5281/zenodo.3463051" TargetMode="External" /><Relationship Type="http://schemas.openxmlformats.org/officeDocument/2006/relationships/hyperlink" Id="rId285" Target="https://github.com/koalaverse/vip/" TargetMode="External" /><Relationship Type="http://schemas.openxmlformats.org/officeDocument/2006/relationships/hyperlink" Id="rId315" Target="https://github.com/tidymodels/yardstick" TargetMode="External" /><Relationship Type="http://schemas.openxmlformats.org/officeDocument/2006/relationships/hyperlink" Id="rId369" Target="https://github.com/vegandevs/vegan" TargetMode="External" /><Relationship Type="http://schemas.openxmlformats.org/officeDocument/2006/relationships/hyperlink" Id="rId443" Target="https://imbs-hl.github.io/ranger/" TargetMode="External" /><Relationship Type="http://schemas.openxmlformats.org/officeDocument/2006/relationships/hyperlink" Id="rId224" Target="https://ipbes.net/global-assessment%0Ahttps://ipbes.net/global-assessment-report-biodiversity-ecosystem-services" TargetMode="External" /><Relationship Type="http://schemas.openxmlformats.org/officeDocument/2006/relationships/hyperlink" Id="rId30" Target="https://maritime-union.org/how-much-trade-is-maritime/?utm_source=chatgpt.com" TargetMode="External" /><Relationship Type="http://schemas.openxmlformats.org/officeDocument/2006/relationships/hyperlink" Id="rId274" Target="https://rsample.tidymodels.org" TargetMode="External" /><Relationship Type="http://schemas.openxmlformats.org/officeDocument/2006/relationships/hyperlink" Id="rId410" Target="https://services.data.shom.fr/geonetwork/srv/fre/catalog.search#/metadata/BATHYMETRIE_LITTO3D_BZH_2018_2021.xml" TargetMode="External" /><Relationship Type="http://schemas.openxmlformats.org/officeDocument/2006/relationships/hyperlink" Id="rId384" Target="https://www.R-project.org/" TargetMode="External" /><Relationship Type="http://schemas.openxmlformats.org/officeDocument/2006/relationships/hyperlink" Id="rId203" Target="https://www.agisoft.com/" TargetMode="External" /><Relationship Type="http://schemas.openxmlformats.org/officeDocument/2006/relationships/hyperlink" Id="rId301" Target="https://www.ign.fr" TargetMode="External" /><Relationship Type="http://schemas.openxmlformats.org/officeDocument/2006/relationships/hyperlink" Id="rId304" Target="https://www.imo.org" TargetMode="External" /><Relationship Type="http://schemas.openxmlformats.org/officeDocument/2006/relationships/hyperlink" Id="rId29" Target="https://www.reuters.com/business/environment/aquafarming-becomes-main-global-source-fish-un-food-agency-says-2024-06-07" TargetMode="External" /><Relationship Type="http://schemas.openxmlformats.org/officeDocument/2006/relationships/hyperlink" Id="rId408" Target="https://www.shom.fr" TargetMode="External" /><Relationship Type="http://schemas.openxmlformats.org/officeDocument/2006/relationships/hyperlink" Id="rId317"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2024-12-25T20:54:55Z</dcterms:created>
  <dcterms:modified xsi:type="dcterms:W3CDTF">2024-12-25T20:54:55Z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